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single" w:sz="4" w:space="0" w:color="FF0000"/>
          <w:right w:val="none" w:sz="0" w:space="0" w:color="auto"/>
          <w:insideH w:val="none" w:sz="0" w:space="0" w:color="auto"/>
          <w:insideV w:val="none" w:sz="0" w:space="0" w:color="auto"/>
        </w:tblBorders>
        <w:tblLook w:val="04A0" w:firstRow="1" w:lastRow="0" w:firstColumn="1" w:lastColumn="0" w:noHBand="0" w:noVBand="1"/>
      </w:tblPr>
      <w:tblGrid>
        <w:gridCol w:w="9638"/>
      </w:tblGrid>
      <w:tr w:rsidR="006C187C" w:rsidRPr="009C62B9" w:rsidTr="008F3E28">
        <w:trPr>
          <w:trHeight w:val="4649"/>
        </w:trPr>
        <w:tc>
          <w:tcPr>
            <w:tcW w:w="9854" w:type="dxa"/>
            <w:vAlign w:val="center"/>
          </w:tcPr>
          <w:p w:rsidR="006C187C" w:rsidRPr="009C62B9" w:rsidRDefault="00A27465" w:rsidP="00EF6281">
            <w:pPr>
              <w:jc w:val="center"/>
              <w:rPr>
                <w:rFonts w:cs="Calibri"/>
              </w:rPr>
            </w:pPr>
            <w:r>
              <w:rPr>
                <w:rFonts w:eastAsia="Times New Roman" w:cs="Calibri"/>
                <w:sz w:val="80"/>
                <w:szCs w:val="80"/>
              </w:rPr>
              <w:t>Trans Equality</w:t>
            </w:r>
            <w:r w:rsidR="006C187C" w:rsidRPr="009C62B9">
              <w:rPr>
                <w:rFonts w:eastAsia="Times New Roman" w:cs="Calibri"/>
                <w:sz w:val="80"/>
                <w:szCs w:val="80"/>
              </w:rPr>
              <w:t xml:space="preserve"> Policy</w:t>
            </w:r>
          </w:p>
        </w:tc>
      </w:tr>
    </w:tbl>
    <w:p w:rsidR="008F3E28" w:rsidRDefault="008F3E28" w:rsidP="008F3E28">
      <w:pPr>
        <w:jc w:val="right"/>
      </w:pPr>
      <w:r>
        <w:t>Version: 1.0</w:t>
      </w:r>
    </w:p>
    <w:p w:rsidR="008F3E28" w:rsidRPr="00170A98" w:rsidRDefault="008F3E28" w:rsidP="008F3E28"/>
    <w:tbl>
      <w:tblPr>
        <w:tblStyle w:val="TableGrid"/>
        <w:tblW w:w="0" w:type="auto"/>
        <w:tblLook w:val="04A0" w:firstRow="1" w:lastRow="0" w:firstColumn="1" w:lastColumn="0" w:noHBand="0" w:noVBand="1"/>
      </w:tblPr>
      <w:tblGrid>
        <w:gridCol w:w="4270"/>
        <w:gridCol w:w="5358"/>
      </w:tblGrid>
      <w:tr w:rsidR="008F3E28" w:rsidRPr="00170A98" w:rsidTr="00880B55">
        <w:trPr>
          <w:trHeight w:val="397"/>
        </w:trPr>
        <w:tc>
          <w:tcPr>
            <w:tcW w:w="4361" w:type="dxa"/>
            <w:vAlign w:val="center"/>
          </w:tcPr>
          <w:p w:rsidR="008F3E28" w:rsidRPr="00170A98" w:rsidRDefault="008F3E28" w:rsidP="00880B55">
            <w:r w:rsidRPr="00170A98">
              <w:t xml:space="preserve">Adopted by </w:t>
            </w:r>
            <w:proofErr w:type="spellStart"/>
            <w:r w:rsidR="00ED57E1">
              <w:t>Glenmere</w:t>
            </w:r>
            <w:proofErr w:type="spellEnd"/>
            <w:r w:rsidR="00ED57E1">
              <w:t xml:space="preserve"> Primary School</w:t>
            </w:r>
          </w:p>
        </w:tc>
        <w:tc>
          <w:tcPr>
            <w:tcW w:w="5493" w:type="dxa"/>
            <w:vAlign w:val="center"/>
          </w:tcPr>
          <w:p w:rsidR="008F3E28" w:rsidRPr="00455CAB" w:rsidRDefault="00A27465" w:rsidP="00880B55">
            <w:pPr>
              <w:jc w:val="left"/>
              <w:rPr>
                <w:rFonts w:eastAsia="Calibri" w:cs="Calibri"/>
                <w:color w:val="000000" w:themeColor="text1"/>
              </w:rPr>
            </w:pPr>
            <w:r>
              <w:rPr>
                <w:rFonts w:eastAsia="Calibri" w:cs="Calibri"/>
                <w:color w:val="000000" w:themeColor="text1"/>
              </w:rPr>
              <w:t xml:space="preserve"> July 2022</w:t>
            </w:r>
          </w:p>
        </w:tc>
      </w:tr>
      <w:tr w:rsidR="008F3E28" w:rsidRPr="00170A98" w:rsidTr="00880B55">
        <w:trPr>
          <w:trHeight w:val="397"/>
        </w:trPr>
        <w:tc>
          <w:tcPr>
            <w:tcW w:w="4361" w:type="dxa"/>
            <w:vAlign w:val="center"/>
          </w:tcPr>
          <w:p w:rsidR="008F3E28" w:rsidRPr="00170A98" w:rsidRDefault="008F3E28" w:rsidP="00880B55">
            <w:r>
              <w:t>Date of Last Review</w:t>
            </w:r>
          </w:p>
        </w:tc>
        <w:tc>
          <w:tcPr>
            <w:tcW w:w="5493" w:type="dxa"/>
            <w:vAlign w:val="center"/>
          </w:tcPr>
          <w:p w:rsidR="008F3E28" w:rsidRPr="30B8D219" w:rsidRDefault="008F3E28" w:rsidP="00880B55">
            <w:pPr>
              <w:jc w:val="left"/>
              <w:rPr>
                <w:rFonts w:eastAsia="Calibri" w:cs="Calibri"/>
                <w:color w:val="000000" w:themeColor="text1"/>
              </w:rPr>
            </w:pPr>
          </w:p>
        </w:tc>
      </w:tr>
      <w:tr w:rsidR="008F3E28" w:rsidRPr="00170A98" w:rsidTr="00880B55">
        <w:trPr>
          <w:trHeight w:val="397"/>
        </w:trPr>
        <w:tc>
          <w:tcPr>
            <w:tcW w:w="4361" w:type="dxa"/>
            <w:vAlign w:val="center"/>
          </w:tcPr>
          <w:p w:rsidR="008F3E28" w:rsidRPr="00170A98" w:rsidRDefault="008F3E28" w:rsidP="00880B55">
            <w:r w:rsidRPr="00170A98">
              <w:t>Next Review Due</w:t>
            </w:r>
          </w:p>
        </w:tc>
        <w:tc>
          <w:tcPr>
            <w:tcW w:w="5493" w:type="dxa"/>
            <w:vAlign w:val="center"/>
          </w:tcPr>
          <w:p w:rsidR="008F3E28" w:rsidRPr="00455CAB" w:rsidRDefault="00ED57E1" w:rsidP="00A27465">
            <w:pPr>
              <w:jc w:val="left"/>
              <w:rPr>
                <w:rFonts w:eastAsia="Calibri" w:cs="Calibri"/>
                <w:color w:val="000000" w:themeColor="text1"/>
              </w:rPr>
            </w:pPr>
            <w:r>
              <w:rPr>
                <w:rFonts w:eastAsia="Calibri" w:cs="Calibri"/>
                <w:color w:val="000000" w:themeColor="text1"/>
              </w:rPr>
              <w:t xml:space="preserve">July </w:t>
            </w:r>
            <w:r w:rsidR="00A27465">
              <w:rPr>
                <w:rFonts w:eastAsia="Calibri" w:cs="Calibri"/>
                <w:color w:val="000000" w:themeColor="text1"/>
              </w:rPr>
              <w:t>2023</w:t>
            </w:r>
          </w:p>
        </w:tc>
      </w:tr>
    </w:tbl>
    <w:p w:rsidR="008F3E28" w:rsidRPr="00170A98" w:rsidRDefault="008F3E28" w:rsidP="008F3E28"/>
    <w:p w:rsidR="008F3E28" w:rsidRDefault="008F3E28" w:rsidP="008F3E28">
      <w:pPr>
        <w:spacing w:line="276" w:lineRule="auto"/>
        <w:jc w:val="left"/>
        <w:rPr>
          <w:lang w:val="en-US"/>
        </w:rPr>
      </w:pPr>
      <w:r>
        <w:rPr>
          <w:lang w:val="en-US"/>
        </w:rPr>
        <w:br w:type="page"/>
      </w:r>
    </w:p>
    <w:p w:rsidR="008F3E28" w:rsidRDefault="008F3E28" w:rsidP="008F3E28">
      <w:pPr>
        <w:pStyle w:val="Heading3"/>
      </w:pPr>
      <w:r>
        <w:lastRenderedPageBreak/>
        <w:t>Review History</w:t>
      </w:r>
    </w:p>
    <w:tbl>
      <w:tblPr>
        <w:tblStyle w:val="TableGrid"/>
        <w:tblW w:w="0" w:type="auto"/>
        <w:tblCellMar>
          <w:top w:w="57" w:type="dxa"/>
          <w:bottom w:w="57" w:type="dxa"/>
        </w:tblCellMar>
        <w:tblLook w:val="04A0" w:firstRow="1" w:lastRow="0" w:firstColumn="1" w:lastColumn="0" w:noHBand="0" w:noVBand="1"/>
      </w:tblPr>
      <w:tblGrid>
        <w:gridCol w:w="1222"/>
        <w:gridCol w:w="2070"/>
        <w:gridCol w:w="4963"/>
        <w:gridCol w:w="1373"/>
      </w:tblGrid>
      <w:tr w:rsidR="008F3E28" w:rsidTr="00880B55">
        <w:tc>
          <w:tcPr>
            <w:tcW w:w="1242" w:type="dxa"/>
            <w:shd w:val="clear" w:color="auto" w:fill="D9D9D9" w:themeFill="background1" w:themeFillShade="D9"/>
            <w:vAlign w:val="center"/>
          </w:tcPr>
          <w:p w:rsidR="008F3E28" w:rsidRPr="00CF321D" w:rsidRDefault="008F3E28" w:rsidP="00880B55">
            <w:pPr>
              <w:jc w:val="left"/>
              <w:rPr>
                <w:b/>
                <w:lang w:val="en-US"/>
              </w:rPr>
            </w:pPr>
            <w:r>
              <w:rPr>
                <w:b/>
                <w:lang w:val="en-US"/>
              </w:rPr>
              <w:t>Date</w:t>
            </w:r>
          </w:p>
        </w:tc>
        <w:tc>
          <w:tcPr>
            <w:tcW w:w="2127" w:type="dxa"/>
            <w:shd w:val="clear" w:color="auto" w:fill="D9D9D9" w:themeFill="background1" w:themeFillShade="D9"/>
            <w:vAlign w:val="center"/>
          </w:tcPr>
          <w:p w:rsidR="008F3E28" w:rsidRPr="00CF321D" w:rsidRDefault="008F3E28" w:rsidP="00880B55">
            <w:pPr>
              <w:jc w:val="left"/>
              <w:rPr>
                <w:b/>
                <w:lang w:val="en-US"/>
              </w:rPr>
            </w:pPr>
            <w:r>
              <w:rPr>
                <w:b/>
                <w:lang w:val="en-US"/>
              </w:rPr>
              <w:t>By</w:t>
            </w:r>
          </w:p>
        </w:tc>
        <w:tc>
          <w:tcPr>
            <w:tcW w:w="5103" w:type="dxa"/>
            <w:shd w:val="clear" w:color="auto" w:fill="D9D9D9" w:themeFill="background1" w:themeFillShade="D9"/>
            <w:vAlign w:val="center"/>
          </w:tcPr>
          <w:p w:rsidR="008F3E28" w:rsidRPr="00CF321D" w:rsidRDefault="008F3E28" w:rsidP="00880B55">
            <w:pPr>
              <w:jc w:val="left"/>
              <w:rPr>
                <w:b/>
                <w:lang w:val="en-US"/>
              </w:rPr>
            </w:pPr>
            <w:r>
              <w:rPr>
                <w:b/>
                <w:lang w:val="en-US"/>
              </w:rPr>
              <w:t>Changes Made</w:t>
            </w:r>
          </w:p>
        </w:tc>
        <w:tc>
          <w:tcPr>
            <w:tcW w:w="1382" w:type="dxa"/>
            <w:shd w:val="clear" w:color="auto" w:fill="D9D9D9" w:themeFill="background1" w:themeFillShade="D9"/>
            <w:vAlign w:val="center"/>
          </w:tcPr>
          <w:p w:rsidR="008F3E28" w:rsidRPr="00CF321D" w:rsidRDefault="008F3E28" w:rsidP="00880B55">
            <w:pPr>
              <w:jc w:val="left"/>
              <w:rPr>
                <w:b/>
                <w:lang w:val="en-US"/>
              </w:rPr>
            </w:pPr>
            <w:r>
              <w:rPr>
                <w:b/>
                <w:lang w:val="en-US"/>
              </w:rPr>
              <w:t>Approved by Trustees</w:t>
            </w: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r w:rsidR="008F3E28" w:rsidTr="00880B55">
        <w:tc>
          <w:tcPr>
            <w:tcW w:w="1242" w:type="dxa"/>
          </w:tcPr>
          <w:p w:rsidR="008F3E28" w:rsidRPr="00CF321D" w:rsidRDefault="008F3E28" w:rsidP="00880B55">
            <w:pPr>
              <w:jc w:val="left"/>
              <w:rPr>
                <w:sz w:val="20"/>
                <w:szCs w:val="20"/>
                <w:lang w:val="en-US"/>
              </w:rPr>
            </w:pPr>
          </w:p>
        </w:tc>
        <w:tc>
          <w:tcPr>
            <w:tcW w:w="2127" w:type="dxa"/>
          </w:tcPr>
          <w:p w:rsidR="008F3E28" w:rsidRPr="00CF321D" w:rsidRDefault="008F3E28" w:rsidP="00880B55">
            <w:pPr>
              <w:jc w:val="left"/>
              <w:rPr>
                <w:sz w:val="20"/>
                <w:szCs w:val="20"/>
                <w:lang w:val="en-US"/>
              </w:rPr>
            </w:pPr>
          </w:p>
        </w:tc>
        <w:tc>
          <w:tcPr>
            <w:tcW w:w="5103" w:type="dxa"/>
          </w:tcPr>
          <w:p w:rsidR="008F3E28" w:rsidRPr="00CF321D" w:rsidRDefault="008F3E28" w:rsidP="00880B55">
            <w:pPr>
              <w:jc w:val="left"/>
              <w:rPr>
                <w:sz w:val="20"/>
                <w:szCs w:val="20"/>
                <w:lang w:val="en-US"/>
              </w:rPr>
            </w:pPr>
          </w:p>
        </w:tc>
        <w:tc>
          <w:tcPr>
            <w:tcW w:w="1382" w:type="dxa"/>
          </w:tcPr>
          <w:p w:rsidR="008F3E28" w:rsidRPr="00CF321D" w:rsidRDefault="008F3E28" w:rsidP="00880B55">
            <w:pPr>
              <w:jc w:val="left"/>
              <w:rPr>
                <w:sz w:val="20"/>
                <w:szCs w:val="20"/>
                <w:lang w:val="en-US"/>
              </w:rPr>
            </w:pPr>
          </w:p>
        </w:tc>
      </w:tr>
    </w:tbl>
    <w:p w:rsidR="008F3E28" w:rsidRPr="00CF321D" w:rsidRDefault="008F3E28" w:rsidP="008F3E28">
      <w:pPr>
        <w:rPr>
          <w:lang w:val="en-US"/>
        </w:rPr>
      </w:pPr>
    </w:p>
    <w:p w:rsidR="008F3E28" w:rsidRPr="00170A98" w:rsidRDefault="008F3E28" w:rsidP="008F3E28">
      <w:pPr>
        <w:pStyle w:val="Heading3"/>
      </w:pPr>
      <w:r w:rsidRPr="00170A98">
        <w:br w:type="page"/>
      </w:r>
    </w:p>
    <w:p w:rsidR="00A27465" w:rsidRDefault="00ED57E1" w:rsidP="00A27465">
      <w:proofErr w:type="spellStart"/>
      <w:r>
        <w:lastRenderedPageBreak/>
        <w:t>Glenmere</w:t>
      </w:r>
      <w:proofErr w:type="spellEnd"/>
      <w:r>
        <w:t xml:space="preserve"> Primary school</w:t>
      </w:r>
      <w:r w:rsidR="00A27465">
        <w:t xml:space="preserve"> </w:t>
      </w:r>
      <w:r w:rsidR="00A27465" w:rsidRPr="00AA11FB">
        <w:t xml:space="preserve">is committed to promoting equality, diversity and good relations in everything it does.  The </w:t>
      </w:r>
      <w:r w:rsidR="00A27465">
        <w:t>Trust</w:t>
      </w:r>
      <w:r w:rsidR="00A27465" w:rsidRPr="00AA11FB">
        <w:t xml:space="preserve"> is committed to equality of opportunity for trans people throughout recruitment and employment, including supporting trans employees through any transitioning process. </w:t>
      </w:r>
    </w:p>
    <w:p w:rsidR="00A27465" w:rsidRDefault="00A27465" w:rsidP="00A27465">
      <w:pPr>
        <w:rPr>
          <w:spacing w:val="-5"/>
        </w:rPr>
      </w:pPr>
      <w:r w:rsidRPr="00AA11FB">
        <w:t xml:space="preserve">The </w:t>
      </w:r>
      <w:r w:rsidR="00ED57E1">
        <w:t>school</w:t>
      </w:r>
      <w:r>
        <w:t xml:space="preserve"> </w:t>
      </w:r>
      <w:r w:rsidRPr="00AA11FB">
        <w:t xml:space="preserve">will not </w:t>
      </w:r>
      <w:r w:rsidRPr="00AA11FB">
        <w:rPr>
          <w:spacing w:val="-1"/>
        </w:rPr>
        <w:t>tolerate</w:t>
      </w:r>
      <w:r w:rsidRPr="00AA11FB">
        <w:rPr>
          <w:spacing w:val="-6"/>
        </w:rPr>
        <w:t xml:space="preserve"> </w:t>
      </w:r>
      <w:r w:rsidRPr="00AA11FB">
        <w:rPr>
          <w:spacing w:val="-1"/>
        </w:rPr>
        <w:t>discrimination,</w:t>
      </w:r>
      <w:r w:rsidRPr="00AA11FB">
        <w:rPr>
          <w:spacing w:val="-7"/>
        </w:rPr>
        <w:t xml:space="preserve"> </w:t>
      </w:r>
      <w:r w:rsidRPr="00AA11FB">
        <w:t>victimisation or harassment</w:t>
      </w:r>
      <w:r w:rsidRPr="00AA11FB">
        <w:rPr>
          <w:spacing w:val="-6"/>
        </w:rPr>
        <w:t xml:space="preserve"> </w:t>
      </w:r>
      <w:r w:rsidRPr="00AA11FB">
        <w:t>on</w:t>
      </w:r>
      <w:r w:rsidRPr="00AA11FB">
        <w:rPr>
          <w:spacing w:val="-5"/>
        </w:rPr>
        <w:t xml:space="preserve"> </w:t>
      </w:r>
      <w:r w:rsidRPr="00AA11FB">
        <w:t>the</w:t>
      </w:r>
      <w:r w:rsidRPr="00AA11FB">
        <w:rPr>
          <w:spacing w:val="-6"/>
        </w:rPr>
        <w:t xml:space="preserve"> </w:t>
      </w:r>
      <w:r w:rsidRPr="00AA11FB">
        <w:rPr>
          <w:spacing w:val="-1"/>
        </w:rPr>
        <w:t>basis</w:t>
      </w:r>
      <w:r w:rsidRPr="00AA11FB">
        <w:rPr>
          <w:spacing w:val="-5"/>
        </w:rPr>
        <w:t xml:space="preserve"> </w:t>
      </w:r>
      <w:r w:rsidRPr="00AA11FB">
        <w:t>of</w:t>
      </w:r>
      <w:r w:rsidRPr="00AA11FB">
        <w:rPr>
          <w:spacing w:val="-6"/>
        </w:rPr>
        <w:t xml:space="preserve"> </w:t>
      </w:r>
      <w:r w:rsidRPr="00AA11FB">
        <w:t>a</w:t>
      </w:r>
      <w:r w:rsidRPr="00AA11FB">
        <w:rPr>
          <w:spacing w:val="-6"/>
        </w:rPr>
        <w:t xml:space="preserve"> </w:t>
      </w:r>
      <w:r w:rsidRPr="00AA11FB">
        <w:rPr>
          <w:spacing w:val="-1"/>
        </w:rPr>
        <w:t>person’s</w:t>
      </w:r>
      <w:r w:rsidRPr="00AA11FB">
        <w:rPr>
          <w:spacing w:val="-5"/>
        </w:rPr>
        <w:t xml:space="preserve"> </w:t>
      </w:r>
      <w:r w:rsidRPr="00AA11FB">
        <w:rPr>
          <w:spacing w:val="-1"/>
        </w:rPr>
        <w:t>gender</w:t>
      </w:r>
      <w:r w:rsidRPr="00AA11FB">
        <w:rPr>
          <w:spacing w:val="-6"/>
        </w:rPr>
        <w:t xml:space="preserve"> </w:t>
      </w:r>
      <w:r w:rsidRPr="00AA11FB">
        <w:t>identity, gender expression or trans</w:t>
      </w:r>
      <w:r w:rsidRPr="00AA11FB">
        <w:rPr>
          <w:vertAlign w:val="superscript"/>
        </w:rPr>
        <w:t xml:space="preserve"> </w:t>
      </w:r>
      <w:r w:rsidRPr="00AA11FB">
        <w:t>status.</w:t>
      </w:r>
      <w:r w:rsidRPr="00AA11FB">
        <w:rPr>
          <w:spacing w:val="-5"/>
        </w:rPr>
        <w:t xml:space="preserve">  </w:t>
      </w:r>
    </w:p>
    <w:p w:rsidR="00A27465" w:rsidRPr="00A27465" w:rsidRDefault="00A27465" w:rsidP="00A27465">
      <w:pPr>
        <w:rPr>
          <w:spacing w:val="-5"/>
        </w:rPr>
      </w:pPr>
      <w:r w:rsidRPr="00AA11FB">
        <w:rPr>
          <w:spacing w:val="-5"/>
        </w:rPr>
        <w:t xml:space="preserve">The </w:t>
      </w:r>
      <w:r w:rsidR="00ED57E1">
        <w:rPr>
          <w:spacing w:val="-5"/>
        </w:rPr>
        <w:t>school</w:t>
      </w:r>
      <w:r>
        <w:rPr>
          <w:spacing w:val="-5"/>
        </w:rPr>
        <w:t xml:space="preserve"> </w:t>
      </w:r>
      <w:r w:rsidRPr="00AA11FB">
        <w:t>seeks to</w:t>
      </w:r>
      <w:r w:rsidRPr="00AA11FB">
        <w:rPr>
          <w:spacing w:val="-6"/>
        </w:rPr>
        <w:t xml:space="preserve"> </w:t>
      </w:r>
      <w:r w:rsidRPr="00AA11FB">
        <w:rPr>
          <w:spacing w:val="-1"/>
        </w:rPr>
        <w:t>provide</w:t>
      </w:r>
      <w:r w:rsidRPr="00AA11FB">
        <w:rPr>
          <w:spacing w:val="-6"/>
        </w:rPr>
        <w:t xml:space="preserve"> </w:t>
      </w:r>
      <w:r w:rsidRPr="00AA11FB">
        <w:t>a</w:t>
      </w:r>
      <w:r w:rsidRPr="00AA11FB">
        <w:rPr>
          <w:spacing w:val="-5"/>
        </w:rPr>
        <w:t xml:space="preserve"> </w:t>
      </w:r>
      <w:r w:rsidRPr="00AA11FB">
        <w:t>supportive</w:t>
      </w:r>
      <w:r w:rsidRPr="00AA11FB">
        <w:rPr>
          <w:spacing w:val="-6"/>
        </w:rPr>
        <w:t xml:space="preserve"> </w:t>
      </w:r>
      <w:r w:rsidRPr="00AA11FB">
        <w:t>environment</w:t>
      </w:r>
      <w:r w:rsidRPr="00AA11FB">
        <w:rPr>
          <w:spacing w:val="-6"/>
        </w:rPr>
        <w:t xml:space="preserve"> </w:t>
      </w:r>
      <w:r w:rsidRPr="00AA11FB">
        <w:t>for</w:t>
      </w:r>
      <w:r w:rsidRPr="00AA11FB">
        <w:rPr>
          <w:spacing w:val="-5"/>
        </w:rPr>
        <w:t xml:space="preserve"> trans</w:t>
      </w:r>
      <w:r w:rsidRPr="00AA11FB">
        <w:rPr>
          <w:spacing w:val="21"/>
          <w:position w:val="11"/>
        </w:rPr>
        <w:t xml:space="preserve"> </w:t>
      </w:r>
      <w:r>
        <w:t>employees</w:t>
      </w:r>
      <w:r w:rsidRPr="00AA11FB">
        <w:rPr>
          <w:spacing w:val="-6"/>
        </w:rPr>
        <w:t xml:space="preserve"> </w:t>
      </w:r>
      <w:r w:rsidRPr="00AA11FB">
        <w:rPr>
          <w:spacing w:val="-1"/>
        </w:rPr>
        <w:t>and</w:t>
      </w:r>
      <w:r w:rsidRPr="00AA11FB">
        <w:rPr>
          <w:spacing w:val="-6"/>
        </w:rPr>
        <w:t xml:space="preserve"> </w:t>
      </w:r>
      <w:r w:rsidRPr="00AA11FB">
        <w:t>to</w:t>
      </w:r>
      <w:r w:rsidRPr="00AA11FB">
        <w:rPr>
          <w:spacing w:val="-6"/>
        </w:rPr>
        <w:t xml:space="preserve"> </w:t>
      </w:r>
      <w:r w:rsidRPr="00AA11FB">
        <w:t>create a</w:t>
      </w:r>
      <w:r w:rsidRPr="00AA11FB">
        <w:rPr>
          <w:spacing w:val="-6"/>
        </w:rPr>
        <w:t xml:space="preserve"> </w:t>
      </w:r>
      <w:r w:rsidRPr="00AA11FB">
        <w:t xml:space="preserve">culture and environment where trans </w:t>
      </w:r>
      <w:r>
        <w:t>employees</w:t>
      </w:r>
      <w:r w:rsidRPr="00AA11FB">
        <w:t xml:space="preserve"> are able to thrive and are well supported during </w:t>
      </w:r>
      <w:r w:rsidRPr="00AA11FB">
        <w:rPr>
          <w:spacing w:val="-1"/>
        </w:rPr>
        <w:t>any</w:t>
      </w:r>
      <w:r w:rsidRPr="00AA11FB">
        <w:rPr>
          <w:spacing w:val="-7"/>
        </w:rPr>
        <w:t xml:space="preserve"> </w:t>
      </w:r>
      <w:r w:rsidRPr="00AA11FB">
        <w:t>process</w:t>
      </w:r>
      <w:r w:rsidRPr="00AA11FB">
        <w:rPr>
          <w:spacing w:val="-7"/>
        </w:rPr>
        <w:t xml:space="preserve"> </w:t>
      </w:r>
      <w:r w:rsidRPr="00AA11FB">
        <w:t>of</w:t>
      </w:r>
      <w:r w:rsidRPr="00AA11FB">
        <w:rPr>
          <w:spacing w:val="-7"/>
        </w:rPr>
        <w:t xml:space="preserve"> </w:t>
      </w:r>
      <w:r w:rsidRPr="00AA11FB">
        <w:t>transition.</w:t>
      </w:r>
    </w:p>
    <w:p w:rsidR="00A27465" w:rsidRPr="00CA7AEF" w:rsidRDefault="00A27465" w:rsidP="00A27465">
      <w:pPr>
        <w:rPr>
          <w:spacing w:val="-5"/>
        </w:rPr>
      </w:pPr>
      <w:r w:rsidRPr="00CA7AEF">
        <w:rPr>
          <w:spacing w:val="-5"/>
        </w:rPr>
        <w:t>The term ‘trans’ is used throughout this policy to acknowledge that there are a wide range of transgender, non-binary or non-conforming gender identities.</w:t>
      </w:r>
      <w:r>
        <w:rPr>
          <w:spacing w:val="-5"/>
        </w:rPr>
        <w:t xml:space="preserve">  These are described in the glossary (see Appendix 1).</w:t>
      </w:r>
    </w:p>
    <w:p w:rsidR="00B51BBA" w:rsidRDefault="00A27465" w:rsidP="00A27465">
      <w:pPr>
        <w:pStyle w:val="Heading2"/>
      </w:pPr>
      <w:r>
        <w:t>Purpose</w:t>
      </w:r>
    </w:p>
    <w:p w:rsidR="00A27465" w:rsidRPr="00C23686" w:rsidRDefault="00C23686" w:rsidP="00C23686">
      <w:pPr>
        <w:pStyle w:val="ListParagraph"/>
        <w:numPr>
          <w:ilvl w:val="1"/>
          <w:numId w:val="8"/>
        </w:numPr>
        <w:ind w:left="567" w:hanging="567"/>
        <w:contextualSpacing w:val="0"/>
        <w:rPr>
          <w:lang w:eastAsia="en-GB"/>
        </w:rPr>
      </w:pPr>
      <w:r w:rsidRPr="00BD48EF">
        <w:rPr>
          <w:rFonts w:cs="Calibri"/>
        </w:rPr>
        <w:t xml:space="preserve">This </w:t>
      </w:r>
      <w:r>
        <w:rPr>
          <w:rFonts w:cs="Calibri"/>
        </w:rPr>
        <w:t xml:space="preserve">policy </w:t>
      </w:r>
      <w:r w:rsidRPr="00BD48EF">
        <w:rPr>
          <w:rFonts w:cs="Calibri"/>
        </w:rPr>
        <w:t xml:space="preserve">outlines </w:t>
      </w:r>
      <w:proofErr w:type="spellStart"/>
      <w:r w:rsidR="00ED57E1">
        <w:rPr>
          <w:rFonts w:cs="Calibri"/>
        </w:rPr>
        <w:t>Glenmere</w:t>
      </w:r>
      <w:proofErr w:type="spellEnd"/>
      <w:r w:rsidR="00ED57E1">
        <w:rPr>
          <w:rFonts w:cs="Calibri"/>
        </w:rPr>
        <w:t xml:space="preserve"> Primary schools and the Owls </w:t>
      </w:r>
      <w:proofErr w:type="spellStart"/>
      <w:r w:rsidR="00ED57E1">
        <w:rPr>
          <w:rFonts w:cs="Calibri"/>
        </w:rPr>
        <w:t>Accademy</w:t>
      </w:r>
      <w:proofErr w:type="spellEnd"/>
      <w:r w:rsidR="00ED57E1">
        <w:rPr>
          <w:rFonts w:cs="Calibri"/>
        </w:rPr>
        <w:t xml:space="preserve"> Trusts</w:t>
      </w:r>
      <w:r w:rsidRPr="00BD48EF">
        <w:rPr>
          <w:rFonts w:cs="Calibri"/>
        </w:rPr>
        <w:t xml:space="preserve"> commitment to ensuring that trans employees are treated with dignity and respect and are not disadvantaged in the workplace.</w:t>
      </w:r>
    </w:p>
    <w:p w:rsidR="00C23686" w:rsidRPr="00C23686" w:rsidRDefault="00C23686" w:rsidP="00C23686">
      <w:pPr>
        <w:pStyle w:val="ListParagraph"/>
        <w:numPr>
          <w:ilvl w:val="1"/>
          <w:numId w:val="8"/>
        </w:numPr>
        <w:ind w:left="567" w:hanging="567"/>
        <w:contextualSpacing w:val="0"/>
        <w:rPr>
          <w:lang w:eastAsia="en-GB"/>
        </w:rPr>
      </w:pPr>
      <w:r w:rsidRPr="00F87742">
        <w:rPr>
          <w:rFonts w:cs="Calibri"/>
        </w:rPr>
        <w:t xml:space="preserve">The aims of this policy are to ensure </w:t>
      </w:r>
      <w:r>
        <w:rPr>
          <w:rFonts w:cs="Calibri"/>
        </w:rPr>
        <w:t xml:space="preserve">compliance with </w:t>
      </w:r>
      <w:r w:rsidRPr="00F87742">
        <w:rPr>
          <w:rFonts w:cs="Calibri"/>
        </w:rPr>
        <w:t>t</w:t>
      </w:r>
      <w:r>
        <w:rPr>
          <w:rFonts w:cs="Calibri"/>
        </w:rPr>
        <w:t xml:space="preserve">he Public Sector Equality Duty, </w:t>
      </w:r>
      <w:r w:rsidRPr="00F87742">
        <w:rPr>
          <w:rFonts w:cs="Calibri"/>
        </w:rPr>
        <w:t>which came into force on 5</w:t>
      </w:r>
      <w:r w:rsidRPr="00C45AC5">
        <w:rPr>
          <w:rFonts w:cs="Calibri"/>
        </w:rPr>
        <w:t>th</w:t>
      </w:r>
      <w:r w:rsidRPr="00F87742">
        <w:rPr>
          <w:rFonts w:cs="Calibri"/>
        </w:rPr>
        <w:t xml:space="preserve"> April 2011</w:t>
      </w:r>
      <w:r>
        <w:rPr>
          <w:rFonts w:cs="Calibri"/>
        </w:rPr>
        <w:t>, and adherence to the Gender Recognition Act (2004).</w:t>
      </w:r>
      <w:r w:rsidRPr="00F87742">
        <w:rPr>
          <w:rFonts w:cs="Calibri"/>
        </w:rPr>
        <w:t xml:space="preserve"> </w:t>
      </w:r>
      <w:r>
        <w:rPr>
          <w:rFonts w:cs="Calibri"/>
        </w:rPr>
        <w:t xml:space="preserve"> T</w:t>
      </w:r>
      <w:r w:rsidRPr="00F87742">
        <w:rPr>
          <w:rFonts w:cs="Calibri"/>
        </w:rPr>
        <w:t>he Equality Act 2010 states that public bodies and others carrying out public functions must comply with the said public equality duty</w:t>
      </w:r>
      <w:r>
        <w:rPr>
          <w:rFonts w:cs="Calibri"/>
        </w:rPr>
        <w:t>, and Gender Reassignment is one of the protected characteristics covered by the Equalities Act.</w:t>
      </w:r>
    </w:p>
    <w:p w:rsidR="00C23686" w:rsidRPr="00C23686" w:rsidRDefault="00C23686" w:rsidP="00C23686">
      <w:pPr>
        <w:pStyle w:val="ListParagraph"/>
        <w:numPr>
          <w:ilvl w:val="1"/>
          <w:numId w:val="8"/>
        </w:numPr>
        <w:ind w:left="567" w:hanging="567"/>
        <w:contextualSpacing w:val="0"/>
        <w:rPr>
          <w:lang w:eastAsia="en-GB"/>
        </w:rPr>
      </w:pPr>
      <w:r w:rsidRPr="007B0486">
        <w:rPr>
          <w:rFonts w:cs="Calibri"/>
        </w:rPr>
        <w:t xml:space="preserve">The purpose of this </w:t>
      </w:r>
      <w:r>
        <w:rPr>
          <w:rFonts w:cs="Calibri"/>
        </w:rPr>
        <w:t>policy</w:t>
      </w:r>
      <w:r w:rsidRPr="007B0486">
        <w:rPr>
          <w:rFonts w:cs="Calibri"/>
        </w:rPr>
        <w:t xml:space="preserve"> is to assist managers and trans employees </w:t>
      </w:r>
      <w:r>
        <w:rPr>
          <w:rFonts w:cs="Calibri"/>
        </w:rPr>
        <w:t>in school</w:t>
      </w:r>
      <w:r w:rsidRPr="007B0486">
        <w:rPr>
          <w:rFonts w:cs="Calibri"/>
        </w:rPr>
        <w:t xml:space="preserve"> with practical information on workplace support</w:t>
      </w:r>
      <w:r>
        <w:rPr>
          <w:rFonts w:cs="Calibri"/>
        </w:rPr>
        <w:t xml:space="preserve"> for trans employees who are transitioning and </w:t>
      </w:r>
      <w:r w:rsidRPr="00BD48EF">
        <w:rPr>
          <w:rFonts w:cs="Calibri"/>
        </w:rPr>
        <w:t>prevent discrimination</w:t>
      </w:r>
      <w:r>
        <w:rPr>
          <w:rFonts w:cs="Calibri"/>
        </w:rPr>
        <w:t xml:space="preserve"> in line with the Equality Act 2010</w:t>
      </w:r>
      <w:r w:rsidRPr="00BD48EF">
        <w:rPr>
          <w:rFonts w:cs="Calibri"/>
        </w:rPr>
        <w:t>.</w:t>
      </w:r>
      <w:r>
        <w:rPr>
          <w:rFonts w:cs="Calibri"/>
        </w:rPr>
        <w:t xml:space="preserve">  The policy provides information on recruitment processes and specific steps schools should take to support employees who are transitioning.</w:t>
      </w:r>
    </w:p>
    <w:p w:rsidR="00C23686" w:rsidRPr="00C23686" w:rsidRDefault="00C23686" w:rsidP="00C23686">
      <w:pPr>
        <w:pStyle w:val="Heading2"/>
        <w:rPr>
          <w:rFonts w:cstheme="minorBidi"/>
        </w:rPr>
      </w:pPr>
      <w:r>
        <w:t xml:space="preserve">Definitions </w:t>
      </w:r>
    </w:p>
    <w:p w:rsidR="00C23686" w:rsidRPr="00C23686" w:rsidRDefault="00C23686" w:rsidP="00C23686">
      <w:pPr>
        <w:pStyle w:val="ListParagraph"/>
        <w:numPr>
          <w:ilvl w:val="0"/>
          <w:numId w:val="8"/>
        </w:numPr>
        <w:contextualSpacing w:val="0"/>
        <w:rPr>
          <w:vanish/>
          <w:lang w:eastAsia="en-GB"/>
        </w:rPr>
      </w:pPr>
    </w:p>
    <w:p w:rsidR="00C23686" w:rsidRDefault="00C23686" w:rsidP="002102A1">
      <w:pPr>
        <w:pStyle w:val="ListParagraph"/>
        <w:numPr>
          <w:ilvl w:val="1"/>
          <w:numId w:val="8"/>
        </w:numPr>
        <w:ind w:left="567" w:hanging="567"/>
        <w:contextualSpacing w:val="0"/>
        <w:rPr>
          <w:lang w:eastAsia="en-GB"/>
        </w:rPr>
      </w:pPr>
      <w:r w:rsidRPr="00C23686">
        <w:rPr>
          <w:lang w:eastAsia="en-GB"/>
        </w:rPr>
        <w:t xml:space="preserve">Definitions and terminology regarding trans people are evolving.  Appendix </w:t>
      </w:r>
      <w:r>
        <w:rPr>
          <w:lang w:eastAsia="en-GB"/>
        </w:rPr>
        <w:t>1</w:t>
      </w:r>
      <w:r w:rsidRPr="00C23686">
        <w:rPr>
          <w:lang w:eastAsia="en-GB"/>
        </w:rPr>
        <w:t xml:space="preserve"> provides a glossary on some of the most commonly used terms.  Individuals will self</w:t>
      </w:r>
      <w:r>
        <w:rPr>
          <w:lang w:eastAsia="en-GB"/>
        </w:rPr>
        <w:t>-</w:t>
      </w:r>
      <w:r w:rsidRPr="00C23686">
        <w:rPr>
          <w:lang w:eastAsia="en-GB"/>
        </w:rPr>
        <w:t>identify and</w:t>
      </w:r>
      <w:r w:rsidR="002102A1">
        <w:rPr>
          <w:lang w:eastAsia="en-GB"/>
        </w:rPr>
        <w:t xml:space="preserve"> their managers and colleagues should respect</w:t>
      </w:r>
      <w:r w:rsidRPr="00C23686">
        <w:rPr>
          <w:lang w:eastAsia="en-GB"/>
        </w:rPr>
        <w:t xml:space="preserve"> how they choose to describe </w:t>
      </w:r>
      <w:r w:rsidR="002102A1">
        <w:rPr>
          <w:lang w:eastAsia="en-GB"/>
        </w:rPr>
        <w:t>themselves</w:t>
      </w:r>
      <w:r w:rsidRPr="00C23686">
        <w:rPr>
          <w:lang w:eastAsia="en-GB"/>
        </w:rPr>
        <w:t>.</w:t>
      </w:r>
      <w:r>
        <w:rPr>
          <w:lang w:eastAsia="en-GB"/>
        </w:rPr>
        <w:t xml:space="preserve"> </w:t>
      </w:r>
      <w:r w:rsidRPr="00C23686">
        <w:rPr>
          <w:lang w:eastAsia="en-GB"/>
        </w:rPr>
        <w:t xml:space="preserve"> Rather than assume, it is best to ask someone how they wish to be addressed</w:t>
      </w:r>
      <w:r>
        <w:rPr>
          <w:lang w:eastAsia="en-GB"/>
        </w:rPr>
        <w:t>.</w:t>
      </w:r>
      <w:r w:rsidR="002102A1">
        <w:rPr>
          <w:lang w:eastAsia="en-GB"/>
        </w:rPr>
        <w:t xml:space="preserve"> </w:t>
      </w:r>
    </w:p>
    <w:p w:rsidR="002102A1" w:rsidRPr="002102A1" w:rsidRDefault="002102A1" w:rsidP="002102A1">
      <w:pPr>
        <w:pStyle w:val="ListParagraph"/>
        <w:numPr>
          <w:ilvl w:val="1"/>
          <w:numId w:val="8"/>
        </w:numPr>
        <w:ind w:left="567" w:hanging="567"/>
        <w:contextualSpacing w:val="0"/>
        <w:rPr>
          <w:lang w:eastAsia="en-GB"/>
        </w:rPr>
      </w:pPr>
      <w:r w:rsidRPr="00AA11FB">
        <w:rPr>
          <w:rFonts w:cs="Calibri"/>
        </w:rPr>
        <w:t>Trans’</w:t>
      </w:r>
      <w:r w:rsidRPr="00AA11FB">
        <w:rPr>
          <w:rFonts w:cs="Calibri"/>
          <w:spacing w:val="-7"/>
        </w:rPr>
        <w:t xml:space="preserve"> or ‘transgender’ describes </w:t>
      </w:r>
      <w:r w:rsidRPr="00AA11FB">
        <w:rPr>
          <w:rFonts w:cs="Calibri"/>
        </w:rPr>
        <w:t>people</w:t>
      </w:r>
      <w:r w:rsidRPr="00AA11FB">
        <w:rPr>
          <w:rFonts w:cs="Calibri"/>
          <w:spacing w:val="-7"/>
        </w:rPr>
        <w:t xml:space="preserve"> </w:t>
      </w:r>
      <w:r w:rsidRPr="00AA11FB">
        <w:rPr>
          <w:rFonts w:cs="Calibri"/>
        </w:rPr>
        <w:t>whose</w:t>
      </w:r>
      <w:r w:rsidRPr="00AA11FB">
        <w:rPr>
          <w:rFonts w:cs="Calibri"/>
          <w:spacing w:val="-7"/>
        </w:rPr>
        <w:t xml:space="preserve"> </w:t>
      </w:r>
      <w:r w:rsidRPr="00AA11FB">
        <w:rPr>
          <w:rFonts w:cs="Calibri"/>
        </w:rPr>
        <w:t>gender</w:t>
      </w:r>
      <w:r w:rsidRPr="00AA11FB">
        <w:rPr>
          <w:rFonts w:cs="Calibri"/>
          <w:spacing w:val="-6"/>
        </w:rPr>
        <w:t xml:space="preserve"> </w:t>
      </w:r>
      <w:r w:rsidRPr="00AA11FB">
        <w:rPr>
          <w:rFonts w:cs="Calibri"/>
          <w:spacing w:val="-1"/>
        </w:rPr>
        <w:t xml:space="preserve">identity </w:t>
      </w:r>
      <w:r w:rsidRPr="00AA11FB">
        <w:rPr>
          <w:rFonts w:cs="Calibri"/>
          <w:spacing w:val="-7"/>
        </w:rPr>
        <w:t>d</w:t>
      </w:r>
      <w:r w:rsidRPr="00AA11FB">
        <w:rPr>
          <w:rFonts w:cs="Calibri"/>
          <w:spacing w:val="-1"/>
        </w:rPr>
        <w:t xml:space="preserve">iffers </w:t>
      </w:r>
      <w:r w:rsidRPr="00AA11FB">
        <w:rPr>
          <w:rFonts w:cs="Calibri"/>
        </w:rPr>
        <w:t>from</w:t>
      </w:r>
      <w:r w:rsidRPr="00AA11FB">
        <w:rPr>
          <w:rFonts w:cs="Calibri"/>
          <w:spacing w:val="-6"/>
        </w:rPr>
        <w:t xml:space="preserve"> </w:t>
      </w:r>
      <w:r w:rsidRPr="00AA11FB">
        <w:rPr>
          <w:rFonts w:cs="Calibri"/>
        </w:rPr>
        <w:t>their</w:t>
      </w:r>
      <w:r w:rsidRPr="00AA11FB">
        <w:rPr>
          <w:rFonts w:cs="Calibri"/>
          <w:spacing w:val="-6"/>
        </w:rPr>
        <w:t xml:space="preserve"> </w:t>
      </w:r>
      <w:r w:rsidRPr="00AA11FB">
        <w:rPr>
          <w:rFonts w:cs="Calibri"/>
        </w:rPr>
        <w:t>sex assigned at birth.</w:t>
      </w:r>
      <w:r w:rsidRPr="00AA11FB">
        <w:rPr>
          <w:rFonts w:cs="Calibri"/>
          <w:spacing w:val="-5"/>
        </w:rPr>
        <w:t xml:space="preserve"> </w:t>
      </w:r>
      <w:r w:rsidRPr="00AA11FB">
        <w:rPr>
          <w:rFonts w:cs="Calibri"/>
        </w:rPr>
        <w:t>They are</w:t>
      </w:r>
      <w:r w:rsidRPr="00AA11FB">
        <w:rPr>
          <w:rFonts w:cs="Calibri"/>
          <w:spacing w:val="-5"/>
        </w:rPr>
        <w:t xml:space="preserve"> umbrella terms</w:t>
      </w:r>
      <w:r w:rsidRPr="00AA11FB">
        <w:rPr>
          <w:rFonts w:cs="Calibri"/>
          <w:spacing w:val="21"/>
          <w:w w:val="99"/>
        </w:rPr>
        <w:t xml:space="preserve"> </w:t>
      </w:r>
      <w:r w:rsidRPr="00AA11FB">
        <w:rPr>
          <w:rFonts w:cs="Calibri"/>
        </w:rPr>
        <w:t>covering</w:t>
      </w:r>
      <w:r w:rsidRPr="00AA11FB">
        <w:rPr>
          <w:rFonts w:cs="Calibri"/>
          <w:spacing w:val="-7"/>
        </w:rPr>
        <w:t xml:space="preserve"> </w:t>
      </w:r>
      <w:r w:rsidRPr="00AA11FB">
        <w:rPr>
          <w:rFonts w:cs="Calibri"/>
        </w:rPr>
        <w:t>people</w:t>
      </w:r>
      <w:r w:rsidRPr="00AA11FB">
        <w:rPr>
          <w:rFonts w:cs="Calibri"/>
          <w:spacing w:val="-8"/>
        </w:rPr>
        <w:t xml:space="preserve"> </w:t>
      </w:r>
      <w:r w:rsidRPr="00AA11FB">
        <w:rPr>
          <w:rFonts w:cs="Calibri"/>
        </w:rPr>
        <w:t>who</w:t>
      </w:r>
      <w:r>
        <w:rPr>
          <w:rFonts w:cs="Calibri"/>
        </w:rPr>
        <w:t>:</w:t>
      </w:r>
    </w:p>
    <w:p w:rsidR="002102A1" w:rsidRPr="002102A1" w:rsidRDefault="002102A1" w:rsidP="002102A1">
      <w:pPr>
        <w:pStyle w:val="ListParagraph"/>
        <w:ind w:left="924" w:hanging="357"/>
        <w:rPr>
          <w:lang w:eastAsia="en-GB"/>
        </w:rPr>
      </w:pPr>
      <w:r w:rsidRPr="00AA11FB">
        <w:rPr>
          <w:rFonts w:cs="Calibri"/>
          <w:spacing w:val="-8"/>
        </w:rPr>
        <w:t xml:space="preserve">are intending to undergo, are </w:t>
      </w:r>
      <w:r w:rsidRPr="00AA11FB">
        <w:rPr>
          <w:rFonts w:cs="Calibri"/>
        </w:rPr>
        <w:t>undergoing,</w:t>
      </w:r>
      <w:r w:rsidRPr="00AA11FB">
        <w:rPr>
          <w:rFonts w:cs="Calibri"/>
          <w:spacing w:val="-7"/>
        </w:rPr>
        <w:t xml:space="preserve"> or have undergone </w:t>
      </w:r>
      <w:r w:rsidRPr="00AA11FB">
        <w:rPr>
          <w:rFonts w:cs="Calibri"/>
        </w:rPr>
        <w:t>gender</w:t>
      </w:r>
      <w:r w:rsidRPr="00AA11FB">
        <w:rPr>
          <w:rFonts w:cs="Calibri"/>
          <w:spacing w:val="-8"/>
        </w:rPr>
        <w:t xml:space="preserve"> </w:t>
      </w:r>
      <w:r w:rsidRPr="00AA11FB">
        <w:rPr>
          <w:rFonts w:cs="Calibri"/>
          <w:spacing w:val="-1"/>
        </w:rPr>
        <w:t>reassignment</w:t>
      </w:r>
      <w:r w:rsidRPr="00AA11FB">
        <w:rPr>
          <w:rFonts w:cs="Calibri"/>
          <w:spacing w:val="-7"/>
        </w:rPr>
        <w:t xml:space="preserve"> </w:t>
      </w:r>
      <w:r w:rsidRPr="00AA11FB">
        <w:rPr>
          <w:rFonts w:cs="Calibri"/>
        </w:rPr>
        <w:t>at</w:t>
      </w:r>
      <w:r w:rsidRPr="00AA11FB">
        <w:rPr>
          <w:rFonts w:cs="Calibri"/>
          <w:spacing w:val="-8"/>
        </w:rPr>
        <w:t xml:space="preserve"> </w:t>
      </w:r>
      <w:r w:rsidRPr="00AA11FB">
        <w:rPr>
          <w:rFonts w:cs="Calibri"/>
        </w:rPr>
        <w:t>any</w:t>
      </w:r>
      <w:r w:rsidRPr="00AA11FB">
        <w:rPr>
          <w:rFonts w:cs="Calibri"/>
          <w:spacing w:val="-7"/>
        </w:rPr>
        <w:t xml:space="preserve"> </w:t>
      </w:r>
      <w:r w:rsidRPr="00AA11FB">
        <w:rPr>
          <w:rFonts w:cs="Calibri"/>
        </w:rPr>
        <w:t>stage</w:t>
      </w:r>
      <w:r>
        <w:rPr>
          <w:rFonts w:cs="Calibri"/>
        </w:rPr>
        <w:t>;</w:t>
      </w:r>
    </w:p>
    <w:p w:rsidR="002102A1" w:rsidRPr="002102A1" w:rsidRDefault="002102A1" w:rsidP="002102A1">
      <w:pPr>
        <w:pStyle w:val="ListParagraph"/>
        <w:ind w:left="924" w:hanging="357"/>
        <w:rPr>
          <w:lang w:eastAsia="en-GB"/>
        </w:rPr>
      </w:pPr>
      <w:r w:rsidRPr="00AA11FB">
        <w:rPr>
          <w:rFonts w:cs="Calibri"/>
        </w:rPr>
        <w:t>identify as having a</w:t>
      </w:r>
      <w:r w:rsidRPr="00AA11FB">
        <w:rPr>
          <w:rFonts w:cs="Calibri"/>
          <w:spacing w:val="-5"/>
        </w:rPr>
        <w:t xml:space="preserve"> </w:t>
      </w:r>
      <w:r w:rsidRPr="00AA11FB">
        <w:rPr>
          <w:rFonts w:cs="Calibri"/>
        </w:rPr>
        <w:t>gender</w:t>
      </w:r>
      <w:r w:rsidRPr="00AA11FB">
        <w:rPr>
          <w:rFonts w:cs="Calibri"/>
          <w:spacing w:val="-5"/>
        </w:rPr>
        <w:t xml:space="preserve"> different </w:t>
      </w:r>
      <w:r w:rsidRPr="00AA11FB">
        <w:rPr>
          <w:rFonts w:cs="Calibri"/>
        </w:rPr>
        <w:t>from</w:t>
      </w:r>
      <w:r w:rsidRPr="00AA11FB">
        <w:rPr>
          <w:rFonts w:cs="Calibri"/>
          <w:spacing w:val="-5"/>
        </w:rPr>
        <w:t xml:space="preserve"> </w:t>
      </w:r>
      <w:r w:rsidRPr="00AA11FB">
        <w:rPr>
          <w:rFonts w:cs="Calibri"/>
        </w:rPr>
        <w:t>that</w:t>
      </w:r>
      <w:r w:rsidRPr="00AA11FB">
        <w:rPr>
          <w:rFonts w:cs="Calibri"/>
          <w:spacing w:val="-5"/>
        </w:rPr>
        <w:t xml:space="preserve"> w</w:t>
      </w:r>
      <w:r w:rsidRPr="00AA11FB">
        <w:rPr>
          <w:rFonts w:cs="Calibri"/>
        </w:rPr>
        <w:t>hich</w:t>
      </w:r>
      <w:r w:rsidRPr="00AA11FB">
        <w:rPr>
          <w:rFonts w:cs="Calibri"/>
          <w:spacing w:val="-5"/>
        </w:rPr>
        <w:t xml:space="preserve"> </w:t>
      </w:r>
      <w:r w:rsidRPr="00AA11FB">
        <w:rPr>
          <w:rFonts w:cs="Calibri"/>
        </w:rPr>
        <w:t>they</w:t>
      </w:r>
      <w:r w:rsidRPr="00AA11FB">
        <w:rPr>
          <w:rFonts w:cs="Calibri"/>
          <w:spacing w:val="-5"/>
        </w:rPr>
        <w:t xml:space="preserve"> </w:t>
      </w:r>
      <w:r w:rsidRPr="00AA11FB">
        <w:rPr>
          <w:rFonts w:cs="Calibri"/>
        </w:rPr>
        <w:t>were</w:t>
      </w:r>
      <w:r w:rsidRPr="00AA11FB">
        <w:rPr>
          <w:rFonts w:cs="Calibri"/>
          <w:spacing w:val="-4"/>
        </w:rPr>
        <w:t xml:space="preserve"> assigned at birth and are planning or have had</w:t>
      </w:r>
      <w:r w:rsidRPr="00AA11FB">
        <w:rPr>
          <w:rFonts w:cs="Calibri"/>
        </w:rPr>
        <w:t xml:space="preserve"> medical interventions such as hormones or surgery</w:t>
      </w:r>
      <w:r>
        <w:rPr>
          <w:rFonts w:cs="Calibri"/>
        </w:rPr>
        <w:t>;</w:t>
      </w:r>
    </w:p>
    <w:p w:rsidR="002102A1" w:rsidRPr="002102A1" w:rsidRDefault="002102A1" w:rsidP="002102A1">
      <w:pPr>
        <w:pStyle w:val="ListParagraph"/>
        <w:ind w:left="924" w:hanging="357"/>
        <w:rPr>
          <w:lang w:eastAsia="en-GB"/>
        </w:rPr>
      </w:pPr>
      <w:r w:rsidRPr="00AA11FB">
        <w:rPr>
          <w:rFonts w:cs="Calibri"/>
        </w:rPr>
        <w:t>identify as having a</w:t>
      </w:r>
      <w:r w:rsidRPr="00AA11FB">
        <w:rPr>
          <w:rFonts w:cs="Calibri"/>
          <w:spacing w:val="-5"/>
        </w:rPr>
        <w:t xml:space="preserve"> </w:t>
      </w:r>
      <w:r w:rsidRPr="00AA11FB">
        <w:rPr>
          <w:rFonts w:cs="Calibri"/>
        </w:rPr>
        <w:t>gender</w:t>
      </w:r>
      <w:r w:rsidRPr="00AA11FB">
        <w:rPr>
          <w:rFonts w:cs="Calibri"/>
          <w:spacing w:val="-5"/>
        </w:rPr>
        <w:t xml:space="preserve"> different </w:t>
      </w:r>
      <w:r w:rsidRPr="00AA11FB">
        <w:rPr>
          <w:rFonts w:cs="Calibri"/>
        </w:rPr>
        <w:t>from</w:t>
      </w:r>
      <w:r w:rsidRPr="00AA11FB">
        <w:rPr>
          <w:rFonts w:cs="Calibri"/>
          <w:spacing w:val="-5"/>
        </w:rPr>
        <w:t xml:space="preserve"> </w:t>
      </w:r>
      <w:r w:rsidRPr="00AA11FB">
        <w:rPr>
          <w:rFonts w:cs="Calibri"/>
        </w:rPr>
        <w:t>that</w:t>
      </w:r>
      <w:r w:rsidRPr="00AA11FB">
        <w:rPr>
          <w:rFonts w:cs="Calibri"/>
          <w:spacing w:val="-5"/>
        </w:rPr>
        <w:t xml:space="preserve"> w</w:t>
      </w:r>
      <w:r w:rsidRPr="00AA11FB">
        <w:rPr>
          <w:rFonts w:cs="Calibri"/>
        </w:rPr>
        <w:t>hich</w:t>
      </w:r>
      <w:r w:rsidRPr="00AA11FB">
        <w:rPr>
          <w:rFonts w:cs="Calibri"/>
          <w:spacing w:val="-5"/>
        </w:rPr>
        <w:t xml:space="preserve"> </w:t>
      </w:r>
      <w:r w:rsidRPr="00AA11FB">
        <w:rPr>
          <w:rFonts w:cs="Calibri"/>
        </w:rPr>
        <w:t>they</w:t>
      </w:r>
      <w:r w:rsidRPr="00AA11FB">
        <w:rPr>
          <w:rFonts w:cs="Calibri"/>
          <w:spacing w:val="-5"/>
        </w:rPr>
        <w:t xml:space="preserve"> </w:t>
      </w:r>
      <w:r w:rsidRPr="00AA11FB">
        <w:rPr>
          <w:rFonts w:cs="Calibri"/>
        </w:rPr>
        <w:t>were</w:t>
      </w:r>
      <w:r w:rsidRPr="00AA11FB">
        <w:rPr>
          <w:rFonts w:cs="Calibri"/>
          <w:spacing w:val="-4"/>
        </w:rPr>
        <w:t xml:space="preserve"> assigned at birth</w:t>
      </w:r>
      <w:r w:rsidRPr="00AA11FB">
        <w:rPr>
          <w:rFonts w:cs="Calibri"/>
        </w:rPr>
        <w:t>,</w:t>
      </w:r>
      <w:r w:rsidRPr="00AA11FB">
        <w:rPr>
          <w:rFonts w:cs="Calibri"/>
          <w:spacing w:val="-5"/>
        </w:rPr>
        <w:t xml:space="preserve"> </w:t>
      </w:r>
      <w:r w:rsidRPr="00AA11FB">
        <w:rPr>
          <w:rFonts w:cs="Calibri"/>
        </w:rPr>
        <w:t>but</w:t>
      </w:r>
      <w:r w:rsidRPr="00AA11FB">
        <w:rPr>
          <w:rFonts w:cs="Calibri"/>
          <w:w w:val="99"/>
        </w:rPr>
        <w:t xml:space="preserve"> </w:t>
      </w:r>
      <w:r w:rsidRPr="00AA11FB">
        <w:rPr>
          <w:rFonts w:cs="Calibri"/>
        </w:rPr>
        <w:t>who</w:t>
      </w:r>
      <w:r w:rsidRPr="00AA11FB">
        <w:rPr>
          <w:rFonts w:cs="Calibri"/>
          <w:spacing w:val="-6"/>
        </w:rPr>
        <w:t xml:space="preserve"> are </w:t>
      </w:r>
      <w:r w:rsidRPr="00AA11FB">
        <w:rPr>
          <w:rFonts w:cs="Calibri"/>
        </w:rPr>
        <w:t>not</w:t>
      </w:r>
      <w:r w:rsidRPr="00AA11FB">
        <w:rPr>
          <w:rFonts w:cs="Calibri"/>
          <w:spacing w:val="-6"/>
        </w:rPr>
        <w:t xml:space="preserve"> </w:t>
      </w:r>
      <w:r w:rsidRPr="00AA11FB">
        <w:rPr>
          <w:rFonts w:cs="Calibri"/>
          <w:spacing w:val="-1"/>
        </w:rPr>
        <w:t>planning any</w:t>
      </w:r>
      <w:r w:rsidRPr="00AA11FB">
        <w:rPr>
          <w:rFonts w:cs="Calibri"/>
          <w:spacing w:val="-5"/>
        </w:rPr>
        <w:t xml:space="preserve"> </w:t>
      </w:r>
      <w:r w:rsidRPr="00AA11FB">
        <w:rPr>
          <w:rFonts w:cs="Calibri"/>
        </w:rPr>
        <w:t xml:space="preserve">medical </w:t>
      </w:r>
      <w:r w:rsidRPr="00AA11FB">
        <w:rPr>
          <w:rFonts w:cs="Calibri"/>
          <w:spacing w:val="-1"/>
        </w:rPr>
        <w:t>intervention; and/or</w:t>
      </w:r>
    </w:p>
    <w:p w:rsidR="002102A1" w:rsidRPr="002102A1" w:rsidRDefault="002102A1" w:rsidP="002102A1">
      <w:pPr>
        <w:pStyle w:val="ListParagraph"/>
        <w:ind w:left="924" w:hanging="357"/>
        <w:rPr>
          <w:lang w:eastAsia="en-GB"/>
        </w:rPr>
      </w:pPr>
      <w:r w:rsidRPr="00AA11FB">
        <w:rPr>
          <w:rFonts w:eastAsia="Calibri" w:cs="Calibri"/>
        </w:rPr>
        <w:t xml:space="preserve">are non-binary – that is, they are </w:t>
      </w:r>
      <w:r w:rsidRPr="00AA11FB">
        <w:rPr>
          <w:rFonts w:cs="Calibri"/>
        </w:rPr>
        <w:t>not solely male or female.  They may define themselves as both, neither or something entirely different.  They may or not have medical interventions to align their body with their non-binary gender identity</w:t>
      </w:r>
      <w:r>
        <w:rPr>
          <w:rFonts w:cs="Calibri"/>
        </w:rPr>
        <w:t>.</w:t>
      </w:r>
    </w:p>
    <w:p w:rsidR="002102A1" w:rsidRPr="002102A1" w:rsidRDefault="002102A1" w:rsidP="002102A1">
      <w:pPr>
        <w:pStyle w:val="ListParagraph"/>
        <w:numPr>
          <w:ilvl w:val="0"/>
          <w:numId w:val="0"/>
        </w:numPr>
        <w:ind w:left="924"/>
        <w:rPr>
          <w:lang w:eastAsia="en-GB"/>
        </w:rPr>
      </w:pPr>
    </w:p>
    <w:p w:rsidR="002102A1" w:rsidRPr="002102A1" w:rsidRDefault="002102A1" w:rsidP="002102A1">
      <w:pPr>
        <w:pStyle w:val="ListParagraph"/>
        <w:numPr>
          <w:ilvl w:val="0"/>
          <w:numId w:val="0"/>
        </w:numPr>
        <w:ind w:left="567"/>
        <w:contextualSpacing w:val="0"/>
        <w:rPr>
          <w:lang w:eastAsia="en-GB"/>
        </w:rPr>
      </w:pPr>
      <w:r>
        <w:rPr>
          <w:rFonts w:cs="Calibri"/>
        </w:rPr>
        <w:t xml:space="preserve">These are not mutually exclusive alternatives. </w:t>
      </w:r>
    </w:p>
    <w:p w:rsidR="002102A1" w:rsidRPr="002102A1" w:rsidRDefault="002102A1" w:rsidP="002102A1">
      <w:pPr>
        <w:pStyle w:val="ListParagraph"/>
        <w:numPr>
          <w:ilvl w:val="1"/>
          <w:numId w:val="8"/>
        </w:numPr>
        <w:ind w:left="567" w:hanging="567"/>
        <w:contextualSpacing w:val="0"/>
        <w:rPr>
          <w:lang w:eastAsia="en-GB"/>
        </w:rPr>
      </w:pPr>
      <w:r w:rsidRPr="00AA11FB">
        <w:rPr>
          <w:rFonts w:cs="Calibri"/>
        </w:rPr>
        <w:lastRenderedPageBreak/>
        <w:t xml:space="preserve">‘Transitioning’ is the process undertaken by a trans person in order to bring their gender presentation into alignment with their gender identity. </w:t>
      </w:r>
      <w:r>
        <w:rPr>
          <w:rFonts w:cs="Calibri"/>
        </w:rPr>
        <w:t xml:space="preserve"> </w:t>
      </w:r>
      <w:r w:rsidRPr="00AA11FB">
        <w:rPr>
          <w:rFonts w:cs="Calibri"/>
        </w:rPr>
        <w:t>This often involves dressing differently, using a different name and pronoun (e</w:t>
      </w:r>
      <w:r>
        <w:rPr>
          <w:rFonts w:cs="Calibri"/>
        </w:rPr>
        <w:t>.</w:t>
      </w:r>
      <w:r w:rsidRPr="00AA11FB">
        <w:rPr>
          <w:rFonts w:cs="Calibri"/>
        </w:rPr>
        <w:t>g</w:t>
      </w:r>
      <w:r>
        <w:rPr>
          <w:rFonts w:cs="Calibri"/>
        </w:rPr>
        <w:t>.</w:t>
      </w:r>
      <w:r w:rsidRPr="00AA11FB">
        <w:rPr>
          <w:rFonts w:cs="Calibri"/>
        </w:rPr>
        <w:t xml:space="preserve"> she, he or they) and changing official documentation. </w:t>
      </w:r>
      <w:r>
        <w:rPr>
          <w:rFonts w:cs="Calibri"/>
        </w:rPr>
        <w:t xml:space="preserve"> </w:t>
      </w:r>
      <w:r w:rsidRPr="00AA11FB">
        <w:rPr>
          <w:rFonts w:cs="Calibri"/>
        </w:rPr>
        <w:t>It may involve various types of medical or surgical treatment, although this is not the case for all trans people.</w:t>
      </w:r>
    </w:p>
    <w:p w:rsidR="002102A1" w:rsidRPr="002102A1" w:rsidRDefault="002102A1" w:rsidP="002102A1">
      <w:pPr>
        <w:pStyle w:val="ListParagraph"/>
        <w:numPr>
          <w:ilvl w:val="1"/>
          <w:numId w:val="8"/>
        </w:numPr>
        <w:ind w:left="567" w:hanging="567"/>
        <w:contextualSpacing w:val="0"/>
        <w:rPr>
          <w:lang w:eastAsia="en-GB"/>
        </w:rPr>
      </w:pPr>
      <w:r>
        <w:rPr>
          <w:rFonts w:cs="Calibri"/>
        </w:rPr>
        <w:t>The Trust</w:t>
      </w:r>
      <w:r w:rsidR="00ED57E1">
        <w:rPr>
          <w:rFonts w:cs="Calibri"/>
        </w:rPr>
        <w:t xml:space="preserve"> and </w:t>
      </w:r>
      <w:proofErr w:type="spellStart"/>
      <w:r w:rsidR="00ED57E1">
        <w:rPr>
          <w:rFonts w:cs="Calibri"/>
        </w:rPr>
        <w:t>Glenmere</w:t>
      </w:r>
      <w:proofErr w:type="spellEnd"/>
      <w:r w:rsidR="00ED57E1">
        <w:rPr>
          <w:rFonts w:cs="Calibri"/>
        </w:rPr>
        <w:t xml:space="preserve"> Primary school</w:t>
      </w:r>
      <w:r w:rsidRPr="00AA11FB">
        <w:rPr>
          <w:rFonts w:cs="Calibri"/>
        </w:rPr>
        <w:t xml:space="preserve"> </w:t>
      </w:r>
      <w:proofErr w:type="spellStart"/>
      <w:r w:rsidRPr="00AA11FB">
        <w:rPr>
          <w:rFonts w:cs="Calibri"/>
        </w:rPr>
        <w:t>recognises</w:t>
      </w:r>
      <w:proofErr w:type="spellEnd"/>
      <w:r w:rsidRPr="00AA11FB">
        <w:rPr>
          <w:rFonts w:cs="Calibri"/>
        </w:rPr>
        <w:t xml:space="preserve"> there </w:t>
      </w:r>
      <w:proofErr w:type="gramStart"/>
      <w:r w:rsidRPr="00AA11FB">
        <w:rPr>
          <w:rFonts w:cs="Calibri"/>
        </w:rPr>
        <w:t>is</w:t>
      </w:r>
      <w:proofErr w:type="gramEnd"/>
      <w:r w:rsidRPr="00AA11FB">
        <w:rPr>
          <w:rFonts w:cs="Calibri"/>
        </w:rPr>
        <w:t xml:space="preserve"> no right or wrong way to transition and is committed to supporting each individual in their decisions.</w:t>
      </w:r>
    </w:p>
    <w:p w:rsidR="002102A1" w:rsidRPr="002102A1" w:rsidRDefault="002102A1" w:rsidP="002102A1">
      <w:pPr>
        <w:pStyle w:val="ListParagraph"/>
        <w:numPr>
          <w:ilvl w:val="1"/>
          <w:numId w:val="8"/>
        </w:numPr>
        <w:ind w:left="567" w:hanging="567"/>
        <w:contextualSpacing w:val="0"/>
        <w:rPr>
          <w:lang w:eastAsia="en-GB"/>
        </w:rPr>
      </w:pPr>
      <w:r w:rsidRPr="00165223">
        <w:rPr>
          <w:rFonts w:eastAsia="MS Mincho" w:cs="Calibri"/>
          <w:color w:val="000000"/>
          <w:lang w:eastAsia="ja-JP"/>
        </w:rPr>
        <w:t>Using inappropriate language and terminology can cause offence and distress and undermines efforts to create an inclusive workplace for trans people</w:t>
      </w:r>
      <w:r>
        <w:rPr>
          <w:rFonts w:eastAsia="MS Mincho" w:cs="Calibri"/>
          <w:color w:val="000000"/>
          <w:lang w:eastAsia="ja-JP"/>
        </w:rPr>
        <w:t>.</w:t>
      </w:r>
    </w:p>
    <w:p w:rsidR="002102A1" w:rsidRPr="002102A1" w:rsidRDefault="002102A1" w:rsidP="002102A1">
      <w:pPr>
        <w:pStyle w:val="ListParagraph"/>
        <w:numPr>
          <w:ilvl w:val="1"/>
          <w:numId w:val="8"/>
        </w:numPr>
        <w:ind w:left="567" w:hanging="567"/>
        <w:contextualSpacing w:val="0"/>
        <w:rPr>
          <w:lang w:eastAsia="en-GB"/>
        </w:rPr>
      </w:pPr>
      <w:r>
        <w:rPr>
          <w:rFonts w:eastAsia="MS Mincho" w:cs="Calibri"/>
          <w:color w:val="000000"/>
          <w:lang w:eastAsia="ja-JP"/>
        </w:rPr>
        <w:t>The Trust</w:t>
      </w:r>
      <w:r w:rsidR="00ED57E1">
        <w:rPr>
          <w:rFonts w:eastAsia="MS Mincho" w:cs="Calibri"/>
          <w:color w:val="000000"/>
          <w:lang w:eastAsia="ja-JP"/>
        </w:rPr>
        <w:t xml:space="preserve"> and </w:t>
      </w:r>
      <w:proofErr w:type="spellStart"/>
      <w:r w:rsidR="00ED57E1">
        <w:rPr>
          <w:rFonts w:eastAsia="MS Mincho" w:cs="Calibri"/>
          <w:color w:val="000000"/>
          <w:lang w:eastAsia="ja-JP"/>
        </w:rPr>
        <w:t>Glenmere</w:t>
      </w:r>
      <w:proofErr w:type="spellEnd"/>
      <w:r w:rsidR="00ED57E1">
        <w:rPr>
          <w:rFonts w:eastAsia="MS Mincho" w:cs="Calibri"/>
          <w:color w:val="000000"/>
          <w:lang w:eastAsia="ja-JP"/>
        </w:rPr>
        <w:t xml:space="preserve"> Primary School</w:t>
      </w:r>
      <w:r w:rsidRPr="00165223">
        <w:rPr>
          <w:rFonts w:eastAsia="MS Mincho" w:cs="Calibri"/>
          <w:color w:val="000000"/>
          <w:lang w:eastAsia="ja-JP"/>
        </w:rPr>
        <w:t xml:space="preserve"> </w:t>
      </w:r>
      <w:proofErr w:type="spellStart"/>
      <w:r w:rsidRPr="00165223">
        <w:rPr>
          <w:rFonts w:eastAsia="MS Mincho" w:cs="Calibri"/>
          <w:color w:val="000000"/>
          <w:lang w:eastAsia="ja-JP"/>
        </w:rPr>
        <w:t>recognises</w:t>
      </w:r>
      <w:proofErr w:type="spellEnd"/>
      <w:r w:rsidRPr="00165223">
        <w:rPr>
          <w:rFonts w:eastAsia="MS Mincho" w:cs="Calibri"/>
          <w:color w:val="000000"/>
          <w:lang w:eastAsia="ja-JP"/>
        </w:rPr>
        <w:t xml:space="preserve"> that gender identity and sexual orientation are not interchangeable terms.  Trans people can be bisexual, gay, heterosexual or lesbian and therefore employees should not assume that a trans colleague has a particular sexual orientation</w:t>
      </w:r>
      <w:r>
        <w:rPr>
          <w:rFonts w:eastAsia="MS Mincho" w:cs="Calibri"/>
          <w:color w:val="000000"/>
          <w:lang w:eastAsia="ja-JP"/>
        </w:rPr>
        <w:t>.</w:t>
      </w:r>
    </w:p>
    <w:p w:rsidR="002102A1" w:rsidRPr="002102A1" w:rsidRDefault="002102A1" w:rsidP="002102A1">
      <w:pPr>
        <w:pStyle w:val="Heading2"/>
        <w:rPr>
          <w:rFonts w:cstheme="minorBidi"/>
        </w:rPr>
      </w:pPr>
      <w:r>
        <w:t xml:space="preserve">Recruitment </w:t>
      </w:r>
    </w:p>
    <w:p w:rsidR="002102A1" w:rsidRPr="002102A1" w:rsidRDefault="002102A1" w:rsidP="002102A1">
      <w:pPr>
        <w:pStyle w:val="ListParagraph"/>
        <w:numPr>
          <w:ilvl w:val="0"/>
          <w:numId w:val="8"/>
        </w:numPr>
        <w:contextualSpacing w:val="0"/>
        <w:rPr>
          <w:vanish/>
          <w:lang w:eastAsia="en-GB"/>
        </w:rPr>
      </w:pPr>
    </w:p>
    <w:p w:rsidR="002102A1" w:rsidRPr="00471842" w:rsidRDefault="002102A1" w:rsidP="002102A1">
      <w:pPr>
        <w:pStyle w:val="ListParagraph"/>
        <w:numPr>
          <w:ilvl w:val="1"/>
          <w:numId w:val="8"/>
        </w:numPr>
        <w:ind w:left="567" w:hanging="567"/>
        <w:contextualSpacing w:val="0"/>
        <w:rPr>
          <w:lang w:eastAsia="en-GB"/>
        </w:rPr>
      </w:pPr>
      <w:r w:rsidRPr="002F2722">
        <w:rPr>
          <w:rFonts w:cs="Calibri"/>
        </w:rPr>
        <w:t xml:space="preserve">Individuals who have already transitioned have no obligation to disclose their gender history.  Job applicants and interviewees will not be asked their gender identity during the recruitment process – it is not a relevant criterion in selection. </w:t>
      </w:r>
      <w:r w:rsidR="00471842">
        <w:rPr>
          <w:rFonts w:cs="Calibri"/>
        </w:rPr>
        <w:t xml:space="preserve"> </w:t>
      </w:r>
      <w:r w:rsidRPr="002F2722">
        <w:rPr>
          <w:rFonts w:cs="Calibri"/>
        </w:rPr>
        <w:t>Neither is there any obligation for a transgender person to disclose this as a condition of employment.  If they choose to disclose, this is not in itself a reason for not offering employment, and non-disclosure or subsequent disclosure is not grounds for dismissal. Appointing officers who become aware that an applicant is trans will maintain full confidentiality in relation to this</w:t>
      </w:r>
      <w:r w:rsidR="00471842">
        <w:rPr>
          <w:rFonts w:cs="Calibri"/>
        </w:rPr>
        <w:t>.</w:t>
      </w:r>
    </w:p>
    <w:p w:rsidR="00471842" w:rsidRPr="00471842" w:rsidRDefault="00471842" w:rsidP="00471842">
      <w:pPr>
        <w:pStyle w:val="ListParagraph"/>
        <w:numPr>
          <w:ilvl w:val="1"/>
          <w:numId w:val="8"/>
        </w:numPr>
        <w:spacing w:after="0"/>
        <w:ind w:left="567" w:hanging="567"/>
        <w:contextualSpacing w:val="0"/>
        <w:rPr>
          <w:lang w:eastAsia="en-GB"/>
        </w:rPr>
      </w:pPr>
      <w:r>
        <w:rPr>
          <w:rFonts w:cs="Calibri"/>
          <w:b/>
        </w:rPr>
        <w:t>References</w:t>
      </w:r>
    </w:p>
    <w:p w:rsidR="00471842" w:rsidRPr="002F2722" w:rsidRDefault="00471842" w:rsidP="00471842">
      <w:pPr>
        <w:ind w:left="567"/>
      </w:pPr>
      <w:r w:rsidRPr="002F2722">
        <w:t>Where a reference request is received for an existing employee who has transitioned, the school will respect the employee’s privacy and only respond using the employee’s correct name and gender in the reference.</w:t>
      </w:r>
    </w:p>
    <w:p w:rsidR="00471842" w:rsidRPr="002F2722" w:rsidRDefault="00471842" w:rsidP="00471842">
      <w:pPr>
        <w:ind w:left="567"/>
      </w:pPr>
      <w:r w:rsidRPr="002F2722">
        <w:t xml:space="preserve">Disclosure on sickness absence will not include time taken off for medical appointments related to transition.  This information is strictly confidential. </w:t>
      </w:r>
    </w:p>
    <w:p w:rsidR="00471842" w:rsidRPr="00471842" w:rsidRDefault="00471842" w:rsidP="00471842">
      <w:pPr>
        <w:ind w:left="567"/>
        <w:rPr>
          <w:lang w:eastAsia="en-GB"/>
        </w:rPr>
      </w:pPr>
      <w:r w:rsidRPr="002F2722">
        <w:t xml:space="preserve">When the school requests a reference, </w:t>
      </w:r>
      <w:r>
        <w:t>the school</w:t>
      </w:r>
      <w:r w:rsidRPr="002F2722">
        <w:t xml:space="preserve"> will make the request using the prospective employee’s correct name and gender since transitioning.  </w:t>
      </w:r>
      <w:r>
        <w:t xml:space="preserve">The school </w:t>
      </w:r>
      <w:r w:rsidRPr="002F2722">
        <w:t>will not mention previous names or gender identity, unless specifically asked to do so (in writing) by the trans person.</w:t>
      </w:r>
    </w:p>
    <w:p w:rsidR="00471842" w:rsidRDefault="00471842" w:rsidP="00471842">
      <w:pPr>
        <w:pStyle w:val="ListParagraph"/>
        <w:numPr>
          <w:ilvl w:val="1"/>
          <w:numId w:val="8"/>
        </w:numPr>
        <w:spacing w:after="0"/>
        <w:ind w:left="567" w:hanging="567"/>
        <w:contextualSpacing w:val="0"/>
        <w:rPr>
          <w:lang w:eastAsia="en-GB"/>
        </w:rPr>
      </w:pPr>
      <w:r>
        <w:rPr>
          <w:b/>
          <w:lang w:eastAsia="en-GB"/>
        </w:rPr>
        <w:t>Disclosure and Barring Service Checks</w:t>
      </w:r>
      <w:r>
        <w:rPr>
          <w:lang w:eastAsia="en-GB"/>
        </w:rPr>
        <w:t xml:space="preserve"> </w:t>
      </w:r>
    </w:p>
    <w:p w:rsidR="00471842" w:rsidRDefault="00471842" w:rsidP="00471842">
      <w:pPr>
        <w:pStyle w:val="ListParagraph"/>
        <w:numPr>
          <w:ilvl w:val="0"/>
          <w:numId w:val="0"/>
        </w:numPr>
        <w:ind w:left="567"/>
        <w:contextualSpacing w:val="0"/>
        <w:rPr>
          <w:lang w:eastAsia="en-GB"/>
        </w:rPr>
      </w:pPr>
      <w:r w:rsidRPr="002F2722">
        <w:rPr>
          <w:rFonts w:cs="Calibri"/>
        </w:rPr>
        <w:t>The school will be responsible for initiating and completing these checks in conjunction with the individual.  There is a confidential application process for trans individuals</w:t>
      </w:r>
      <w:r>
        <w:rPr>
          <w:rFonts w:cs="Calibri"/>
        </w:rPr>
        <w:t>:</w:t>
      </w:r>
      <w:r w:rsidRPr="002F2722">
        <w:rPr>
          <w:rFonts w:cs="Calibri"/>
        </w:rPr>
        <w:t xml:space="preserve"> advice can be obtained from DBS (</w:t>
      </w:r>
      <w:hyperlink r:id="rId10" w:history="1">
        <w:r w:rsidRPr="00877B74">
          <w:rPr>
            <w:rStyle w:val="Hyperlink"/>
            <w:rFonts w:cs="Calibri"/>
          </w:rPr>
          <w:t>https://www.gov.uk/guidance/transgender-applications</w:t>
        </w:r>
      </w:hyperlink>
      <w:r>
        <w:rPr>
          <w:rFonts w:cs="Calibri"/>
        </w:rPr>
        <w:t>)</w:t>
      </w:r>
      <w:r w:rsidRPr="002F2722">
        <w:rPr>
          <w:rFonts w:cs="Calibri"/>
        </w:rPr>
        <w:t>.</w:t>
      </w:r>
    </w:p>
    <w:p w:rsidR="00471842" w:rsidRDefault="00471842" w:rsidP="00471842">
      <w:pPr>
        <w:pStyle w:val="ListParagraph"/>
        <w:numPr>
          <w:ilvl w:val="1"/>
          <w:numId w:val="8"/>
        </w:numPr>
        <w:spacing w:after="0"/>
        <w:ind w:left="567" w:hanging="567"/>
        <w:contextualSpacing w:val="0"/>
        <w:rPr>
          <w:lang w:eastAsia="en-GB"/>
        </w:rPr>
      </w:pPr>
      <w:r>
        <w:rPr>
          <w:b/>
          <w:lang w:eastAsia="en-GB"/>
        </w:rPr>
        <w:t>Safer Recruitment Documents</w:t>
      </w:r>
    </w:p>
    <w:p w:rsidR="00471842" w:rsidRDefault="00471842" w:rsidP="00471842">
      <w:pPr>
        <w:pStyle w:val="ListParagraph"/>
        <w:numPr>
          <w:ilvl w:val="0"/>
          <w:numId w:val="0"/>
        </w:numPr>
        <w:ind w:left="567"/>
        <w:contextualSpacing w:val="0"/>
        <w:rPr>
          <w:lang w:eastAsia="en-GB"/>
        </w:rPr>
      </w:pPr>
      <w:r w:rsidRPr="002F2722">
        <w:rPr>
          <w:rFonts w:cs="Calibri"/>
        </w:rPr>
        <w:t xml:space="preserve">Where an employee is required to provide evidence of an essential qualification certificate or other documents </w:t>
      </w:r>
      <w:r>
        <w:rPr>
          <w:rFonts w:cs="Calibri"/>
        </w:rPr>
        <w:t>(</w:t>
      </w:r>
      <w:r w:rsidRPr="002F2722">
        <w:rPr>
          <w:rFonts w:cs="Calibri"/>
        </w:rPr>
        <w:t>e.g</w:t>
      </w:r>
      <w:r>
        <w:rPr>
          <w:rFonts w:cs="Calibri"/>
        </w:rPr>
        <w:t>.</w:t>
      </w:r>
      <w:r w:rsidRPr="002F2722">
        <w:rPr>
          <w:rFonts w:cs="Calibri"/>
        </w:rPr>
        <w:t xml:space="preserve"> a right to work document</w:t>
      </w:r>
      <w:r>
        <w:rPr>
          <w:rFonts w:cs="Calibri"/>
        </w:rPr>
        <w:t>)</w:t>
      </w:r>
      <w:r w:rsidRPr="002F2722">
        <w:rPr>
          <w:rFonts w:cs="Calibri"/>
        </w:rPr>
        <w:t xml:space="preserve"> as part of the school’s safer recruitment checks and it is in their former name, a copy of the certificate or document will be stored securely on the employee’s personal file and access restricted to </w:t>
      </w:r>
      <w:proofErr w:type="spellStart"/>
      <w:r w:rsidRPr="002F2722">
        <w:rPr>
          <w:rFonts w:cs="Calibri"/>
        </w:rPr>
        <w:t>authorised</w:t>
      </w:r>
      <w:proofErr w:type="spellEnd"/>
      <w:r w:rsidRPr="002F2722">
        <w:rPr>
          <w:rFonts w:cs="Calibri"/>
        </w:rPr>
        <w:t xml:space="preserve"> individuals.  </w:t>
      </w:r>
      <w:r w:rsidRPr="00F87742">
        <w:rPr>
          <w:rFonts w:cs="Calibri"/>
        </w:rPr>
        <w:t>The school will always ensure that an applicant is made aware of the full range of permissible identification documents and that the process of checking is handled sensitively and with respect for privacy of the individual</w:t>
      </w:r>
      <w:r>
        <w:rPr>
          <w:rFonts w:cs="Calibri"/>
        </w:rPr>
        <w:t>.</w:t>
      </w:r>
    </w:p>
    <w:p w:rsidR="00471842" w:rsidRDefault="00471842" w:rsidP="00471842">
      <w:pPr>
        <w:pStyle w:val="ListParagraph"/>
        <w:numPr>
          <w:ilvl w:val="1"/>
          <w:numId w:val="8"/>
        </w:numPr>
        <w:spacing w:after="0"/>
        <w:ind w:left="567" w:hanging="567"/>
        <w:contextualSpacing w:val="0"/>
        <w:rPr>
          <w:lang w:eastAsia="en-GB"/>
        </w:rPr>
      </w:pPr>
      <w:r>
        <w:rPr>
          <w:b/>
          <w:lang w:eastAsia="en-GB"/>
        </w:rPr>
        <w:t>Professional Registration</w:t>
      </w:r>
    </w:p>
    <w:p w:rsidR="00471842" w:rsidRDefault="00471842" w:rsidP="00471842">
      <w:pPr>
        <w:pStyle w:val="ListParagraph"/>
        <w:numPr>
          <w:ilvl w:val="0"/>
          <w:numId w:val="0"/>
        </w:numPr>
        <w:ind w:left="567"/>
        <w:contextualSpacing w:val="0"/>
        <w:rPr>
          <w:lang w:eastAsia="en-GB"/>
        </w:rPr>
      </w:pPr>
      <w:r w:rsidRPr="002F2722">
        <w:rPr>
          <w:rFonts w:cs="Calibri"/>
        </w:rPr>
        <w:lastRenderedPageBreak/>
        <w:t xml:space="preserve">If the employee’s job involves professional registration, </w:t>
      </w:r>
      <w:r>
        <w:rPr>
          <w:rFonts w:cs="Calibri"/>
        </w:rPr>
        <w:t>the school</w:t>
      </w:r>
      <w:r w:rsidRPr="002F2722">
        <w:rPr>
          <w:rFonts w:cs="Calibri"/>
        </w:rPr>
        <w:t xml:space="preserve"> will check whether the registration body has a specific, confidential process for gender transition. </w:t>
      </w:r>
      <w:r>
        <w:rPr>
          <w:lang w:eastAsia="en-GB"/>
        </w:rPr>
        <w:t xml:space="preserve"> </w:t>
      </w:r>
    </w:p>
    <w:p w:rsidR="00471842" w:rsidRPr="00471842" w:rsidRDefault="00471842" w:rsidP="00471842">
      <w:pPr>
        <w:pStyle w:val="ListParagraph"/>
        <w:numPr>
          <w:ilvl w:val="1"/>
          <w:numId w:val="8"/>
        </w:numPr>
        <w:spacing w:after="0"/>
        <w:ind w:left="567" w:hanging="567"/>
        <w:contextualSpacing w:val="0"/>
        <w:rPr>
          <w:lang w:eastAsia="en-GB"/>
        </w:rPr>
      </w:pPr>
      <w:r>
        <w:rPr>
          <w:b/>
          <w:lang w:eastAsia="en-GB"/>
        </w:rPr>
        <w:t>Pensions and National Insurance</w:t>
      </w:r>
    </w:p>
    <w:p w:rsidR="00471842" w:rsidRDefault="00471842" w:rsidP="00471842">
      <w:pPr>
        <w:pStyle w:val="ListParagraph"/>
        <w:numPr>
          <w:ilvl w:val="0"/>
          <w:numId w:val="0"/>
        </w:numPr>
        <w:ind w:left="567"/>
        <w:contextualSpacing w:val="0"/>
        <w:rPr>
          <w:lang w:eastAsia="en-GB"/>
        </w:rPr>
      </w:pPr>
      <w:r w:rsidRPr="002F2722">
        <w:rPr>
          <w:rFonts w:cs="Calibri"/>
        </w:rPr>
        <w:t xml:space="preserve">Where pensions, national insurance contributions or other benefits are dependent on legal sex, trans individuals will be advised of </w:t>
      </w:r>
      <w:r>
        <w:rPr>
          <w:rFonts w:cs="Calibri"/>
        </w:rPr>
        <w:t xml:space="preserve">any </w:t>
      </w:r>
      <w:r w:rsidRPr="002F2722">
        <w:rPr>
          <w:rFonts w:cs="Calibri"/>
        </w:rPr>
        <w:t>implications</w:t>
      </w:r>
      <w:r>
        <w:rPr>
          <w:rFonts w:cs="Calibri"/>
        </w:rPr>
        <w:t>.  Advice can be obtained from gov.uk (</w:t>
      </w:r>
      <w:hyperlink r:id="rId11" w:history="1">
        <w:r w:rsidRPr="009B5460">
          <w:rPr>
            <w:rStyle w:val="Hyperlink"/>
            <w:rFonts w:cs="Calibri"/>
          </w:rPr>
          <w:t>www.gov.uk/government/publications/gender-recognition-how-pensions-and-benefits-may-be-affected</w:t>
        </w:r>
      </w:hyperlink>
      <w:r>
        <w:rPr>
          <w:rFonts w:cs="Calibri"/>
        </w:rPr>
        <w:t>).</w:t>
      </w:r>
      <w:r>
        <w:rPr>
          <w:lang w:eastAsia="en-GB"/>
        </w:rPr>
        <w:t xml:space="preserve"> </w:t>
      </w:r>
    </w:p>
    <w:p w:rsidR="002102A1" w:rsidRDefault="002102A1" w:rsidP="002102A1">
      <w:pPr>
        <w:pStyle w:val="Heading2"/>
      </w:pPr>
      <w:r>
        <w:t xml:space="preserve">Supporting and Individual Transitioning </w:t>
      </w:r>
    </w:p>
    <w:p w:rsidR="002102A1" w:rsidRPr="002102A1" w:rsidRDefault="002102A1" w:rsidP="002102A1">
      <w:pPr>
        <w:pStyle w:val="ListParagraph"/>
        <w:numPr>
          <w:ilvl w:val="0"/>
          <w:numId w:val="8"/>
        </w:numPr>
        <w:contextualSpacing w:val="0"/>
        <w:rPr>
          <w:vanish/>
          <w:lang w:eastAsia="en-GB"/>
        </w:rPr>
      </w:pPr>
    </w:p>
    <w:p w:rsidR="002102A1" w:rsidRPr="00D47B6E" w:rsidRDefault="00471842" w:rsidP="002102A1">
      <w:pPr>
        <w:pStyle w:val="ListParagraph"/>
        <w:numPr>
          <w:ilvl w:val="1"/>
          <w:numId w:val="8"/>
        </w:numPr>
        <w:ind w:left="567" w:hanging="567"/>
        <w:contextualSpacing w:val="0"/>
        <w:rPr>
          <w:lang w:eastAsia="en-GB"/>
        </w:rPr>
      </w:pPr>
      <w:r w:rsidRPr="00701238">
        <w:rPr>
          <w:rFonts w:cs="Calibri"/>
        </w:rPr>
        <w:t xml:space="preserve">The </w:t>
      </w:r>
      <w:r w:rsidR="00ED57E1">
        <w:rPr>
          <w:rFonts w:cs="Calibri"/>
        </w:rPr>
        <w:t xml:space="preserve">trust and the </w:t>
      </w:r>
      <w:r w:rsidRPr="00701238">
        <w:rPr>
          <w:rFonts w:cs="Calibri"/>
        </w:rPr>
        <w:t xml:space="preserve">school </w:t>
      </w:r>
      <w:proofErr w:type="spellStart"/>
      <w:r w:rsidRPr="00701238">
        <w:rPr>
          <w:rFonts w:cs="Calibri"/>
        </w:rPr>
        <w:t>recognises</w:t>
      </w:r>
      <w:proofErr w:type="spellEnd"/>
      <w:r w:rsidRPr="00701238">
        <w:rPr>
          <w:rFonts w:cs="Calibri"/>
        </w:rPr>
        <w:t xml:space="preserve"> that trans job applicants and employees are not required to inform the school of their gender status or gender history.  The gender in which an individual chooses to present will always b</w:t>
      </w:r>
      <w:r w:rsidR="00D47B6E">
        <w:rPr>
          <w:rFonts w:cs="Calibri"/>
        </w:rPr>
        <w:t>e acknowledged and respected, and t</w:t>
      </w:r>
      <w:r w:rsidRPr="00701238">
        <w:rPr>
          <w:rFonts w:cs="Calibri"/>
        </w:rPr>
        <w:t>his extends to individ</w:t>
      </w:r>
      <w:r>
        <w:rPr>
          <w:rFonts w:cs="Calibri"/>
        </w:rPr>
        <w:t>uals who identify as non-binary</w:t>
      </w:r>
      <w:r w:rsidRPr="00701238">
        <w:rPr>
          <w:rFonts w:cs="Calibri"/>
        </w:rPr>
        <w:t xml:space="preserve"> </w:t>
      </w:r>
      <w:r>
        <w:rPr>
          <w:rFonts w:cs="Calibri"/>
        </w:rPr>
        <w:t>(</w:t>
      </w:r>
      <w:r w:rsidRPr="00701238">
        <w:rPr>
          <w:rFonts w:cs="Calibri"/>
        </w:rPr>
        <w:t>i</w:t>
      </w:r>
      <w:r>
        <w:rPr>
          <w:rFonts w:cs="Calibri"/>
        </w:rPr>
        <w:t>.</w:t>
      </w:r>
      <w:r w:rsidRPr="00701238">
        <w:rPr>
          <w:rFonts w:cs="Calibri"/>
        </w:rPr>
        <w:t>e</w:t>
      </w:r>
      <w:r>
        <w:rPr>
          <w:rFonts w:cs="Calibri"/>
        </w:rPr>
        <w:t>.</w:t>
      </w:r>
      <w:r w:rsidRPr="00701238">
        <w:rPr>
          <w:rFonts w:cs="Calibri"/>
        </w:rPr>
        <w:t xml:space="preserve"> they do not regard their gender identity as exclusively male or female.</w:t>
      </w:r>
      <w:r>
        <w:rPr>
          <w:rFonts w:cs="Calibri"/>
        </w:rPr>
        <w:t>)</w:t>
      </w:r>
    </w:p>
    <w:p w:rsidR="00D47B6E" w:rsidRPr="00D47B6E" w:rsidRDefault="00D47B6E" w:rsidP="002102A1">
      <w:pPr>
        <w:pStyle w:val="ListParagraph"/>
        <w:numPr>
          <w:ilvl w:val="1"/>
          <w:numId w:val="8"/>
        </w:numPr>
        <w:ind w:left="567" w:hanging="567"/>
        <w:contextualSpacing w:val="0"/>
        <w:rPr>
          <w:lang w:eastAsia="en-GB"/>
        </w:rPr>
      </w:pPr>
      <w:r>
        <w:rPr>
          <w:rFonts w:cs="Calibri"/>
        </w:rPr>
        <w:t>The Gender Recognition Act enables people over eighteen to gain full legal recognition for the gender in which they live.  Applications are considered by the Gender Recognition Panel.  Once a person receives a Gender</w:t>
      </w:r>
      <w:r w:rsidRPr="00F87742">
        <w:rPr>
          <w:rFonts w:cs="Calibri"/>
        </w:rPr>
        <w:t xml:space="preserve"> Recognition Certificate (GRC)</w:t>
      </w:r>
      <w:r>
        <w:rPr>
          <w:rFonts w:cs="Calibri"/>
        </w:rPr>
        <w:t xml:space="preserve">, they are legally of that gender for every purpose and have all the rights and responsibilities associated with that gender. </w:t>
      </w:r>
    </w:p>
    <w:p w:rsidR="00D47B6E" w:rsidRDefault="00D47B6E" w:rsidP="00D47B6E">
      <w:pPr>
        <w:pStyle w:val="ListParagraph"/>
        <w:numPr>
          <w:ilvl w:val="0"/>
          <w:numId w:val="0"/>
        </w:numPr>
        <w:ind w:left="567"/>
        <w:contextualSpacing w:val="0"/>
        <w:rPr>
          <w:rFonts w:cs="Calibri"/>
        </w:rPr>
      </w:pPr>
      <w:r w:rsidRPr="007B279F">
        <w:rPr>
          <w:rFonts w:cs="Calibri"/>
          <w:lang w:val="en"/>
        </w:rPr>
        <w:t xml:space="preserve">If a person has a gender recognition certificate they can obtain a new birth certificate showing their acquired gender. </w:t>
      </w:r>
      <w:r>
        <w:rPr>
          <w:rFonts w:cs="Calibri"/>
          <w:lang w:val="en"/>
        </w:rPr>
        <w:t xml:space="preserve"> </w:t>
      </w:r>
      <w:r w:rsidRPr="007B279F">
        <w:rPr>
          <w:rFonts w:cs="Calibri"/>
          <w:lang w:val="en"/>
        </w:rPr>
        <w:t xml:space="preserve">An employer should be able to use the birth certificate for most administrative requirements relating to employment, in the same way that they would for other employees. </w:t>
      </w:r>
      <w:r>
        <w:rPr>
          <w:rFonts w:cs="Calibri"/>
          <w:lang w:val="en"/>
        </w:rPr>
        <w:t xml:space="preserve"> </w:t>
      </w:r>
      <w:r w:rsidRPr="007B279F">
        <w:rPr>
          <w:rFonts w:cs="Calibri"/>
          <w:lang w:val="en"/>
        </w:rPr>
        <w:t>It is unlawful to request the</w:t>
      </w:r>
      <w:r>
        <w:rPr>
          <w:rFonts w:cs="Calibri"/>
          <w:lang w:val="en"/>
        </w:rPr>
        <w:t xml:space="preserve"> gender recognition certificate; i</w:t>
      </w:r>
      <w:r w:rsidRPr="007B279F">
        <w:rPr>
          <w:rFonts w:cs="Calibri"/>
          <w:lang w:val="en"/>
        </w:rPr>
        <w:t>ndeed, if someone has reassigned their gender before joining you, you will have no need to know that they have a gender recognition certificate and have changed their gender</w:t>
      </w:r>
      <w:r>
        <w:rPr>
          <w:rFonts w:cs="Calibri"/>
        </w:rPr>
        <w:t>.</w:t>
      </w:r>
    </w:p>
    <w:p w:rsidR="00D47B6E" w:rsidRPr="00D47B6E" w:rsidRDefault="00D47B6E" w:rsidP="00D47B6E">
      <w:pPr>
        <w:pStyle w:val="ListParagraph"/>
        <w:numPr>
          <w:ilvl w:val="0"/>
          <w:numId w:val="0"/>
        </w:numPr>
        <w:ind w:left="567"/>
        <w:contextualSpacing w:val="0"/>
        <w:rPr>
          <w:lang w:eastAsia="en-GB"/>
        </w:rPr>
      </w:pPr>
      <w:r w:rsidRPr="007B279F">
        <w:rPr>
          <w:rFonts w:cs="Calibri"/>
          <w:lang w:val="en"/>
        </w:rPr>
        <w:t xml:space="preserve">Many transgender people will not obtain a gender recognition certificate to permanently change their gender but will want to live with a different name to the one they were given at birth. </w:t>
      </w:r>
      <w:r>
        <w:rPr>
          <w:rFonts w:cs="Calibri"/>
          <w:lang w:val="en"/>
        </w:rPr>
        <w:t xml:space="preserve"> </w:t>
      </w:r>
      <w:r w:rsidRPr="007B279F">
        <w:rPr>
          <w:rFonts w:cs="Calibri"/>
          <w:lang w:val="en"/>
        </w:rPr>
        <w:t>A name can be changed using a statutory declaration or deed poll</w:t>
      </w:r>
      <w:r>
        <w:rPr>
          <w:rFonts w:cs="Calibri"/>
          <w:lang w:val="en"/>
        </w:rPr>
        <w:t>.</w:t>
      </w:r>
    </w:p>
    <w:p w:rsidR="00D47B6E" w:rsidRPr="00D47B6E" w:rsidRDefault="00D47B6E" w:rsidP="002102A1">
      <w:pPr>
        <w:pStyle w:val="ListParagraph"/>
        <w:numPr>
          <w:ilvl w:val="1"/>
          <w:numId w:val="8"/>
        </w:numPr>
        <w:ind w:left="567" w:hanging="567"/>
        <w:contextualSpacing w:val="0"/>
        <w:rPr>
          <w:lang w:eastAsia="en-GB"/>
        </w:rPr>
      </w:pPr>
      <w:r w:rsidRPr="00FC2A1F">
        <w:rPr>
          <w:rFonts w:cs="Calibri"/>
        </w:rPr>
        <w:t xml:space="preserve">Once the school has been made aware by an employee that they will be starting, or have started, the process of transitioning, an appropriate point of contact will be agreed with the employee.  That person will work with the employee to develop a confidential </w:t>
      </w:r>
      <w:hyperlink r:id="rId12" w:history="1">
        <w:r w:rsidRPr="00C3605C">
          <w:rPr>
            <w:rStyle w:val="Hyperlink"/>
            <w:rFonts w:cs="Calibri"/>
          </w:rPr>
          <w:t>action plan</w:t>
        </w:r>
      </w:hyperlink>
      <w:r w:rsidRPr="00FC2A1F">
        <w:rPr>
          <w:rFonts w:cs="Calibri"/>
        </w:rPr>
        <w:t xml:space="preserve"> to manage the individual's transition at work</w:t>
      </w:r>
      <w:r>
        <w:rPr>
          <w:rFonts w:cs="Calibri"/>
        </w:rPr>
        <w:t xml:space="preserve"> (</w:t>
      </w:r>
      <w:r w:rsidRPr="00D47B6E">
        <w:rPr>
          <w:rFonts w:cs="Calibri"/>
        </w:rPr>
        <w:t>see Appendix 2 for</w:t>
      </w:r>
      <w:r>
        <w:rPr>
          <w:rFonts w:cs="Calibri"/>
        </w:rPr>
        <w:t xml:space="preserve"> template action plan).  </w:t>
      </w:r>
      <w:r w:rsidRPr="00FC2A1F">
        <w:rPr>
          <w:rFonts w:cs="Calibri"/>
        </w:rPr>
        <w:t xml:space="preserve">The plan will consider what steps to take before, during and after the employee's transition. </w:t>
      </w:r>
      <w:r>
        <w:rPr>
          <w:rFonts w:cs="Calibri"/>
        </w:rPr>
        <w:t xml:space="preserve"> </w:t>
      </w:r>
      <w:r w:rsidRPr="00FC2A1F">
        <w:rPr>
          <w:rFonts w:cs="Calibri"/>
        </w:rPr>
        <w:t>No action will be taken without the employee's consent.</w:t>
      </w:r>
    </w:p>
    <w:p w:rsidR="00D47B6E" w:rsidRPr="00D47B6E" w:rsidRDefault="00D47B6E" w:rsidP="002102A1">
      <w:pPr>
        <w:pStyle w:val="ListParagraph"/>
        <w:numPr>
          <w:ilvl w:val="1"/>
          <w:numId w:val="8"/>
        </w:numPr>
        <w:ind w:left="567" w:hanging="567"/>
        <w:contextualSpacing w:val="0"/>
        <w:rPr>
          <w:lang w:eastAsia="en-GB"/>
        </w:rPr>
      </w:pPr>
      <w:r w:rsidRPr="002F2722">
        <w:rPr>
          <w:rFonts w:cs="Calibri"/>
        </w:rPr>
        <w:t xml:space="preserve">It can be an extremely difficult step for someone to approach their manager about transitioning.  They are likely to worry about the response. </w:t>
      </w:r>
      <w:r>
        <w:rPr>
          <w:rFonts w:cs="Calibri"/>
        </w:rPr>
        <w:t xml:space="preserve"> </w:t>
      </w:r>
      <w:r w:rsidRPr="002F2722">
        <w:rPr>
          <w:rFonts w:cs="Calibri"/>
        </w:rPr>
        <w:t>The transition process will be led by the individual concerned.  However, schools should ensure that the individual is su</w:t>
      </w:r>
      <w:r w:rsidRPr="000858D0">
        <w:rPr>
          <w:rFonts w:cs="Calibri"/>
        </w:rPr>
        <w:t>pported and respected</w:t>
      </w:r>
      <w:r>
        <w:rPr>
          <w:rFonts w:cs="Calibri"/>
        </w:rPr>
        <w:t xml:space="preserve"> throughout the process</w:t>
      </w:r>
    </w:p>
    <w:p w:rsidR="00D47B6E" w:rsidRPr="00D47B6E" w:rsidRDefault="00D47B6E" w:rsidP="00D47B6E">
      <w:pPr>
        <w:pStyle w:val="ListParagraph"/>
        <w:numPr>
          <w:ilvl w:val="1"/>
          <w:numId w:val="8"/>
        </w:numPr>
        <w:spacing w:after="0"/>
        <w:ind w:left="567" w:hanging="567"/>
        <w:contextualSpacing w:val="0"/>
        <w:rPr>
          <w:lang w:eastAsia="en-GB"/>
        </w:rPr>
      </w:pPr>
      <w:r>
        <w:rPr>
          <w:b/>
          <w:lang w:eastAsia="en-GB"/>
        </w:rPr>
        <w:t>Telling Colleagues</w:t>
      </w:r>
    </w:p>
    <w:p w:rsidR="00D47B6E" w:rsidRDefault="00D47B6E" w:rsidP="00D47B6E">
      <w:pPr>
        <w:pStyle w:val="ListParagraph"/>
        <w:numPr>
          <w:ilvl w:val="0"/>
          <w:numId w:val="0"/>
        </w:numPr>
        <w:ind w:left="567"/>
        <w:contextualSpacing w:val="0"/>
        <w:rPr>
          <w:lang w:eastAsia="en-GB"/>
        </w:rPr>
      </w:pPr>
      <w:r w:rsidRPr="002F2722">
        <w:rPr>
          <w:rFonts w:cs="Calibri"/>
        </w:rPr>
        <w:t xml:space="preserve">The manager and employee will discuss the individual’s preferences in relation to informing others, including other managers, colleagues, and other relevant contacts. </w:t>
      </w:r>
      <w:r>
        <w:rPr>
          <w:rFonts w:cs="Calibri"/>
        </w:rPr>
        <w:t xml:space="preserve"> </w:t>
      </w:r>
      <w:r w:rsidRPr="002F2722">
        <w:rPr>
          <w:rFonts w:cs="Calibri"/>
        </w:rPr>
        <w:t>They will agree whether the employee will do this, whether they would prefer the manager or a work colleague to do this, or a mixture of these options.  They will also get express written agreement from the employee about when and how this will happen, including the details of the message and who it will be shared with.  Levels of disclosure may vary in detail for different types of contacts and will be agreed in advance</w:t>
      </w:r>
      <w:r>
        <w:rPr>
          <w:rFonts w:cs="Calibri"/>
        </w:rPr>
        <w:t>.</w:t>
      </w:r>
      <w:r>
        <w:rPr>
          <w:lang w:eastAsia="en-GB"/>
        </w:rPr>
        <w:t xml:space="preserve"> </w:t>
      </w:r>
    </w:p>
    <w:p w:rsidR="00D47B6E" w:rsidRPr="00D47B6E" w:rsidRDefault="00D47B6E" w:rsidP="00D47B6E">
      <w:pPr>
        <w:pStyle w:val="ListParagraph"/>
        <w:numPr>
          <w:ilvl w:val="1"/>
          <w:numId w:val="8"/>
        </w:numPr>
        <w:spacing w:after="0"/>
        <w:ind w:left="567" w:hanging="567"/>
        <w:contextualSpacing w:val="0"/>
        <w:rPr>
          <w:lang w:eastAsia="en-GB"/>
        </w:rPr>
      </w:pPr>
      <w:r>
        <w:rPr>
          <w:b/>
          <w:lang w:eastAsia="en-GB"/>
        </w:rPr>
        <w:t>Uniforms and Dress Codes</w:t>
      </w:r>
    </w:p>
    <w:p w:rsidR="00D47B6E" w:rsidRDefault="00D47B6E" w:rsidP="00D47B6E">
      <w:pPr>
        <w:pStyle w:val="ListParagraph"/>
        <w:numPr>
          <w:ilvl w:val="0"/>
          <w:numId w:val="0"/>
        </w:numPr>
        <w:ind w:left="567"/>
        <w:contextualSpacing w:val="0"/>
        <w:rPr>
          <w:lang w:eastAsia="en-GB"/>
        </w:rPr>
      </w:pPr>
      <w:r>
        <w:rPr>
          <w:lang w:eastAsia="en-GB"/>
        </w:rPr>
        <w:lastRenderedPageBreak/>
        <w:t xml:space="preserve"> </w:t>
      </w:r>
      <w:r w:rsidRPr="002F2722">
        <w:rPr>
          <w:rFonts w:cs="Calibri"/>
        </w:rPr>
        <w:t xml:space="preserve">If a uniform is in place for the role, managers will ensure that the trans employee has access to the uniform that is most appropriate at all times.  Some trans employees may need access to both the male and female uniforms. </w:t>
      </w:r>
      <w:r>
        <w:rPr>
          <w:rFonts w:cs="Calibri"/>
        </w:rPr>
        <w:t xml:space="preserve"> </w:t>
      </w:r>
      <w:r w:rsidRPr="002F2722">
        <w:rPr>
          <w:rFonts w:cs="Calibri"/>
        </w:rPr>
        <w:t xml:space="preserve">Managers will be flexible, and will support the preferences of the trans person wherever possible.  Trans </w:t>
      </w:r>
      <w:r>
        <w:rPr>
          <w:rFonts w:cs="Calibri"/>
        </w:rPr>
        <w:t>employees</w:t>
      </w:r>
      <w:r w:rsidRPr="002F2722">
        <w:rPr>
          <w:rFonts w:cs="Calibri"/>
        </w:rPr>
        <w:t xml:space="preserve"> have the right to comply with any dress codes in a way that reflects their gender identity and gender expression.</w:t>
      </w:r>
    </w:p>
    <w:p w:rsidR="00D47B6E" w:rsidRPr="00D47B6E" w:rsidRDefault="00D47B6E" w:rsidP="00D47B6E">
      <w:pPr>
        <w:pStyle w:val="ListParagraph"/>
        <w:numPr>
          <w:ilvl w:val="1"/>
          <w:numId w:val="8"/>
        </w:numPr>
        <w:spacing w:after="0"/>
        <w:ind w:left="567" w:hanging="567"/>
        <w:contextualSpacing w:val="0"/>
        <w:rPr>
          <w:lang w:eastAsia="en-GB"/>
        </w:rPr>
      </w:pPr>
      <w:r>
        <w:rPr>
          <w:b/>
          <w:lang w:eastAsia="en-GB"/>
        </w:rPr>
        <w:t>Changing Facilities, Toilets and Other Single Sex Facilities</w:t>
      </w:r>
    </w:p>
    <w:p w:rsidR="00D47B6E" w:rsidRDefault="00D47B6E" w:rsidP="00D47B6E">
      <w:pPr>
        <w:pStyle w:val="ListParagraph"/>
        <w:numPr>
          <w:ilvl w:val="0"/>
          <w:numId w:val="0"/>
        </w:numPr>
        <w:ind w:left="567"/>
        <w:contextualSpacing w:val="0"/>
        <w:rPr>
          <w:lang w:eastAsia="en-GB"/>
        </w:rPr>
      </w:pPr>
      <w:r w:rsidRPr="002F2722">
        <w:rPr>
          <w:rFonts w:cs="Calibri"/>
        </w:rPr>
        <w:t>Trans employees are entitled to use single gender facilities in accordance with their affirmed gender. For non-binary people, this might mean using gender-neutral or accessible facilities, or using a combination of different facilities.  However, trans employees will never be required to use accessible toilets unless they wish to do so.</w:t>
      </w:r>
      <w:r>
        <w:rPr>
          <w:lang w:eastAsia="en-GB"/>
        </w:rPr>
        <w:t xml:space="preserve"> </w:t>
      </w:r>
    </w:p>
    <w:p w:rsidR="00D47B6E" w:rsidRPr="00D47B6E" w:rsidRDefault="00D47B6E" w:rsidP="002102A1">
      <w:pPr>
        <w:pStyle w:val="ListParagraph"/>
        <w:numPr>
          <w:ilvl w:val="1"/>
          <w:numId w:val="8"/>
        </w:numPr>
        <w:ind w:left="567" w:hanging="567"/>
        <w:contextualSpacing w:val="0"/>
        <w:rPr>
          <w:lang w:eastAsia="en-GB"/>
        </w:rPr>
      </w:pPr>
      <w:r>
        <w:rPr>
          <w:b/>
          <w:lang w:eastAsia="en-GB"/>
        </w:rPr>
        <w:t>Updating Records</w:t>
      </w:r>
    </w:p>
    <w:p w:rsidR="00D47B6E" w:rsidRDefault="00A858BE" w:rsidP="00D47B6E">
      <w:pPr>
        <w:pStyle w:val="ListParagraph"/>
        <w:numPr>
          <w:ilvl w:val="0"/>
          <w:numId w:val="0"/>
        </w:numPr>
        <w:ind w:left="567"/>
        <w:contextualSpacing w:val="0"/>
        <w:rPr>
          <w:rFonts w:cs="Calibri"/>
        </w:rPr>
      </w:pPr>
      <w:r w:rsidRPr="002F2722">
        <w:rPr>
          <w:rFonts w:cs="Calibri"/>
        </w:rPr>
        <w:t>Electronic records will be updated in a timely manner, to coincide with the date on which the workplace transition begins.  Care will be taken to ensure that records do not link back to the former name – this may entail creating a whole new email address rather than simply changing the name on the existing one, for instance.  The manager and employee will work together to ensure that nothing is missed.</w:t>
      </w:r>
    </w:p>
    <w:p w:rsidR="00A858BE" w:rsidRDefault="00A858BE" w:rsidP="00A858BE">
      <w:pPr>
        <w:pStyle w:val="Body"/>
        <w:spacing w:after="0" w:line="269" w:lineRule="auto"/>
        <w:ind w:left="567"/>
        <w:jc w:val="both"/>
        <w:rPr>
          <w:rFonts w:ascii="Calibri" w:hAnsi="Calibri" w:cs="Calibri"/>
          <w:sz w:val="22"/>
          <w:szCs w:val="22"/>
        </w:rPr>
      </w:pPr>
      <w:r w:rsidRPr="002F2722">
        <w:rPr>
          <w:rFonts w:ascii="Calibri" w:hAnsi="Calibri" w:cs="Calibri"/>
          <w:sz w:val="22"/>
          <w:szCs w:val="22"/>
        </w:rPr>
        <w:t>New security/ID passes with the correct name and a new photograph will be issued.</w:t>
      </w:r>
    </w:p>
    <w:p w:rsidR="00A858BE" w:rsidRPr="002F2722" w:rsidRDefault="00A858BE" w:rsidP="00A858BE">
      <w:pPr>
        <w:pStyle w:val="Body"/>
        <w:spacing w:after="0" w:line="269" w:lineRule="auto"/>
        <w:ind w:left="567"/>
        <w:jc w:val="both"/>
        <w:rPr>
          <w:rFonts w:ascii="Calibri" w:hAnsi="Calibri" w:cs="Calibri"/>
          <w:sz w:val="22"/>
          <w:szCs w:val="22"/>
        </w:rPr>
      </w:pPr>
    </w:p>
    <w:p w:rsidR="00A858BE" w:rsidRPr="00D47B6E" w:rsidRDefault="00A858BE" w:rsidP="00A858BE">
      <w:pPr>
        <w:pStyle w:val="ListParagraph"/>
        <w:numPr>
          <w:ilvl w:val="0"/>
          <w:numId w:val="0"/>
        </w:numPr>
        <w:ind w:left="567"/>
        <w:contextualSpacing w:val="0"/>
        <w:rPr>
          <w:lang w:eastAsia="en-GB"/>
        </w:rPr>
      </w:pPr>
      <w:r w:rsidRPr="002F2722">
        <w:rPr>
          <w:rFonts w:cs="Calibri"/>
        </w:rPr>
        <w:t xml:space="preserve">Where it is not possible to update a record, for example, pre-employment checks undertaken when the employee started at the school, it will be stored in a secure place and access will be restricted to </w:t>
      </w:r>
      <w:proofErr w:type="spellStart"/>
      <w:r w:rsidRPr="002F2722">
        <w:rPr>
          <w:rFonts w:cs="Calibri"/>
        </w:rPr>
        <w:t>authorised</w:t>
      </w:r>
      <w:proofErr w:type="spellEnd"/>
      <w:r w:rsidRPr="002F2722">
        <w:rPr>
          <w:rFonts w:cs="Calibri"/>
        </w:rPr>
        <w:t xml:space="preserve"> individuals</w:t>
      </w:r>
      <w:r>
        <w:rPr>
          <w:rFonts w:cs="Calibri"/>
        </w:rPr>
        <w:t>.</w:t>
      </w:r>
    </w:p>
    <w:p w:rsidR="00D47B6E" w:rsidRPr="00A858BE" w:rsidRDefault="00A858BE" w:rsidP="00A858BE">
      <w:pPr>
        <w:pStyle w:val="ListParagraph"/>
        <w:numPr>
          <w:ilvl w:val="1"/>
          <w:numId w:val="8"/>
        </w:numPr>
        <w:spacing w:after="0"/>
        <w:ind w:left="567" w:hanging="567"/>
        <w:contextualSpacing w:val="0"/>
        <w:rPr>
          <w:lang w:eastAsia="en-GB"/>
        </w:rPr>
      </w:pPr>
      <w:r>
        <w:rPr>
          <w:b/>
          <w:lang w:eastAsia="en-GB"/>
        </w:rPr>
        <w:t>Customer Facing Roles</w:t>
      </w:r>
    </w:p>
    <w:p w:rsidR="00A858BE" w:rsidRPr="00A858BE" w:rsidRDefault="00A858BE" w:rsidP="00A858BE">
      <w:pPr>
        <w:pStyle w:val="ListParagraph"/>
        <w:numPr>
          <w:ilvl w:val="0"/>
          <w:numId w:val="0"/>
        </w:numPr>
        <w:ind w:left="567"/>
        <w:contextualSpacing w:val="0"/>
        <w:rPr>
          <w:lang w:eastAsia="en-GB"/>
        </w:rPr>
      </w:pPr>
      <w:r w:rsidRPr="002F2722">
        <w:rPr>
          <w:rFonts w:cs="Calibri"/>
        </w:rPr>
        <w:t xml:space="preserve">There is no reason why an employee who is transitioning should not continue in a customer facing role. </w:t>
      </w:r>
      <w:r>
        <w:rPr>
          <w:rFonts w:cs="Calibri"/>
        </w:rPr>
        <w:t xml:space="preserve"> </w:t>
      </w:r>
      <w:r w:rsidRPr="002F2722">
        <w:rPr>
          <w:rFonts w:cs="Calibri"/>
        </w:rPr>
        <w:t>However, some people might prefer a period of redeployment during transition, or as a permanent change.  Managers and HR will work with the trans employee to find a solution that meets the needs of both the employee and the school.</w:t>
      </w:r>
    </w:p>
    <w:p w:rsidR="00D47B6E" w:rsidRPr="00A858BE" w:rsidRDefault="00D47B6E" w:rsidP="00A858BE">
      <w:pPr>
        <w:pStyle w:val="ListParagraph"/>
        <w:numPr>
          <w:ilvl w:val="1"/>
          <w:numId w:val="8"/>
        </w:numPr>
        <w:spacing w:after="0"/>
        <w:ind w:left="567" w:hanging="567"/>
        <w:contextualSpacing w:val="0"/>
        <w:rPr>
          <w:lang w:eastAsia="en-GB"/>
        </w:rPr>
      </w:pPr>
      <w:r>
        <w:rPr>
          <w:lang w:eastAsia="en-GB"/>
        </w:rPr>
        <w:t xml:space="preserve"> </w:t>
      </w:r>
      <w:r w:rsidR="00A858BE">
        <w:rPr>
          <w:b/>
          <w:lang w:eastAsia="en-GB"/>
        </w:rPr>
        <w:t>Attendance at Appointments and Time Needed for Treatment and Surgery</w:t>
      </w:r>
    </w:p>
    <w:p w:rsidR="00A858BE" w:rsidRDefault="00A858BE" w:rsidP="00A858BE">
      <w:pPr>
        <w:pStyle w:val="ListParagraph"/>
        <w:numPr>
          <w:ilvl w:val="0"/>
          <w:numId w:val="0"/>
        </w:numPr>
        <w:ind w:left="567"/>
        <w:contextualSpacing w:val="0"/>
        <w:rPr>
          <w:lang w:eastAsia="en-GB"/>
        </w:rPr>
      </w:pPr>
      <w:r w:rsidRPr="002F2722">
        <w:rPr>
          <w:rFonts w:cs="Calibri"/>
        </w:rPr>
        <w:t>Time off to attend transition-related appointments and treatment will be granted in line with the provisions of the school’s Leave of Absence policy.  Employees may wish to consider a temporary change to their working arrangements during this process and managers will accommodate such requests where possible</w:t>
      </w:r>
    </w:p>
    <w:p w:rsidR="00D47B6E" w:rsidRPr="00A858BE" w:rsidRDefault="00A858BE" w:rsidP="00A858BE">
      <w:pPr>
        <w:pStyle w:val="ListParagraph"/>
        <w:numPr>
          <w:ilvl w:val="1"/>
          <w:numId w:val="8"/>
        </w:numPr>
        <w:spacing w:after="0"/>
        <w:ind w:left="567" w:hanging="567"/>
        <w:contextualSpacing w:val="0"/>
        <w:rPr>
          <w:lang w:eastAsia="en-GB"/>
        </w:rPr>
      </w:pPr>
      <w:r>
        <w:rPr>
          <w:b/>
          <w:lang w:eastAsia="en-GB"/>
        </w:rPr>
        <w:t>Other Support Available</w:t>
      </w:r>
    </w:p>
    <w:p w:rsidR="00A858BE" w:rsidRDefault="00A858BE" w:rsidP="00A858BE">
      <w:pPr>
        <w:pStyle w:val="ListParagraph"/>
        <w:numPr>
          <w:ilvl w:val="0"/>
          <w:numId w:val="0"/>
        </w:numPr>
        <w:ind w:left="567"/>
        <w:contextualSpacing w:val="0"/>
        <w:rPr>
          <w:lang w:eastAsia="en-GB"/>
        </w:rPr>
      </w:pPr>
      <w:r w:rsidRPr="00FD22D2">
        <w:rPr>
          <w:rFonts w:cs="Arial"/>
        </w:rPr>
        <w:t xml:space="preserve">For further support employees can </w:t>
      </w:r>
      <w:r>
        <w:rPr>
          <w:rFonts w:cs="Arial"/>
        </w:rPr>
        <w:t xml:space="preserve">request a referral to an </w:t>
      </w:r>
      <w:r w:rsidRPr="00FD22D2">
        <w:rPr>
          <w:rFonts w:cs="Arial"/>
        </w:rPr>
        <w:t xml:space="preserve">Employee </w:t>
      </w:r>
      <w:r>
        <w:rPr>
          <w:rFonts w:cs="Arial"/>
        </w:rPr>
        <w:t xml:space="preserve">Counselling and Wellbeing </w:t>
      </w:r>
      <w:r w:rsidRPr="00FD22D2">
        <w:rPr>
          <w:rFonts w:cs="Arial"/>
        </w:rPr>
        <w:t xml:space="preserve">Service.  This is a confidential counselling service that can be accessed by all employees.  The service may also sign post employees to other </w:t>
      </w:r>
      <w:proofErr w:type="spellStart"/>
      <w:r w:rsidRPr="00FD22D2">
        <w:rPr>
          <w:rFonts w:cs="Arial"/>
        </w:rPr>
        <w:t>organisations</w:t>
      </w:r>
      <w:proofErr w:type="spellEnd"/>
      <w:r w:rsidRPr="00FD22D2">
        <w:rPr>
          <w:rFonts w:cs="Arial"/>
        </w:rPr>
        <w:t xml:space="preserve"> for support where appropriate</w:t>
      </w:r>
      <w:r>
        <w:rPr>
          <w:rFonts w:cs="Arial"/>
        </w:rPr>
        <w:t>.</w:t>
      </w:r>
    </w:p>
    <w:p w:rsidR="002102A1" w:rsidRDefault="002102A1" w:rsidP="002102A1">
      <w:pPr>
        <w:pStyle w:val="Heading2"/>
      </w:pPr>
      <w:r>
        <w:t xml:space="preserve">Reporting Unacceptable Behaviour </w:t>
      </w:r>
    </w:p>
    <w:p w:rsidR="002102A1" w:rsidRPr="002102A1" w:rsidRDefault="002102A1" w:rsidP="002102A1">
      <w:pPr>
        <w:pStyle w:val="ListParagraph"/>
        <w:numPr>
          <w:ilvl w:val="0"/>
          <w:numId w:val="8"/>
        </w:numPr>
        <w:contextualSpacing w:val="0"/>
        <w:rPr>
          <w:vanish/>
          <w:lang w:eastAsia="en-GB"/>
        </w:rPr>
      </w:pPr>
    </w:p>
    <w:p w:rsidR="002102A1" w:rsidRDefault="00A858BE" w:rsidP="002102A1">
      <w:pPr>
        <w:pStyle w:val="ListParagraph"/>
        <w:numPr>
          <w:ilvl w:val="1"/>
          <w:numId w:val="8"/>
        </w:numPr>
        <w:ind w:left="567" w:hanging="567"/>
        <w:contextualSpacing w:val="0"/>
        <w:rPr>
          <w:lang w:eastAsia="en-GB"/>
        </w:rPr>
      </w:pPr>
      <w:r>
        <w:rPr>
          <w:rFonts w:cs="Calibri"/>
        </w:rPr>
        <w:t>The Trust</w:t>
      </w:r>
      <w:r w:rsidR="00ED57E1">
        <w:rPr>
          <w:rFonts w:cs="Calibri"/>
        </w:rPr>
        <w:t xml:space="preserve"> and the school,</w:t>
      </w:r>
      <w:bookmarkStart w:id="0" w:name="_GoBack"/>
      <w:bookmarkEnd w:id="0"/>
      <w:r>
        <w:rPr>
          <w:rFonts w:cs="Calibri"/>
        </w:rPr>
        <w:t xml:space="preserve"> </w:t>
      </w:r>
      <w:r w:rsidRPr="002F2722">
        <w:rPr>
          <w:rFonts w:cs="Calibri"/>
        </w:rPr>
        <w:t>has a zero-tolerance approach towards discrimination and harassment based on gender identity, gender expression or gender history.</w:t>
      </w:r>
      <w:r>
        <w:rPr>
          <w:rFonts w:cs="Calibri"/>
        </w:rPr>
        <w:t xml:space="preserve"> </w:t>
      </w:r>
      <w:r w:rsidRPr="002F2722">
        <w:rPr>
          <w:rFonts w:cs="Calibri"/>
        </w:rPr>
        <w:t xml:space="preserve"> Inappropriate </w:t>
      </w:r>
      <w:proofErr w:type="spellStart"/>
      <w:r w:rsidRPr="002F2722">
        <w:rPr>
          <w:rFonts w:cs="Calibri"/>
        </w:rPr>
        <w:t>behaviour</w:t>
      </w:r>
      <w:proofErr w:type="spellEnd"/>
      <w:r w:rsidRPr="002F2722">
        <w:rPr>
          <w:rFonts w:cs="Calibri"/>
        </w:rPr>
        <w:t xml:space="preserve"> or language may constitute discrimination, harassment, bullying or </w:t>
      </w:r>
      <w:proofErr w:type="spellStart"/>
      <w:r w:rsidRPr="002F2722">
        <w:rPr>
          <w:rFonts w:cs="Calibri"/>
        </w:rPr>
        <w:t>victimisation</w:t>
      </w:r>
      <w:proofErr w:type="spellEnd"/>
      <w:r w:rsidRPr="002F2722">
        <w:rPr>
          <w:rFonts w:cs="Calibri"/>
        </w:rPr>
        <w:t xml:space="preserve">. </w:t>
      </w:r>
      <w:r>
        <w:rPr>
          <w:rFonts w:cs="Calibri"/>
        </w:rPr>
        <w:t xml:space="preserve"> </w:t>
      </w:r>
      <w:r w:rsidRPr="002F2722">
        <w:rPr>
          <w:rFonts w:cs="Calibri"/>
        </w:rPr>
        <w:t xml:space="preserve">Discrimination including harassment, third party harassment and </w:t>
      </w:r>
      <w:proofErr w:type="spellStart"/>
      <w:r w:rsidRPr="002F2722">
        <w:rPr>
          <w:rFonts w:cs="Calibri"/>
        </w:rPr>
        <w:t>victimisation</w:t>
      </w:r>
      <w:proofErr w:type="spellEnd"/>
      <w:r w:rsidRPr="002F2722">
        <w:rPr>
          <w:rFonts w:cs="Calibri"/>
        </w:rPr>
        <w:t xml:space="preserve"> are covered by the Equality Act 2010. </w:t>
      </w:r>
      <w:r>
        <w:rPr>
          <w:rFonts w:cs="Calibri"/>
        </w:rPr>
        <w:t xml:space="preserve"> </w:t>
      </w:r>
      <w:r w:rsidRPr="002F2722">
        <w:rPr>
          <w:rFonts w:cs="Calibri"/>
        </w:rPr>
        <w:t>Managers are responsible for taking timely action where misconduct occurs on the grounds of an employee’s gender identity, in line with the Grievance Policy.</w:t>
      </w:r>
    </w:p>
    <w:p w:rsidR="00D47B6E" w:rsidRDefault="00D47B6E" w:rsidP="00A858BE">
      <w:pPr>
        <w:pStyle w:val="Heading2"/>
      </w:pPr>
      <w:r>
        <w:lastRenderedPageBreak/>
        <w:t xml:space="preserve"> </w:t>
      </w:r>
      <w:r w:rsidR="00A858BE">
        <w:t>Support for Employees with a Family Member who is Transitioning</w:t>
      </w:r>
    </w:p>
    <w:p w:rsidR="00A858BE" w:rsidRPr="00A858BE" w:rsidRDefault="00A858BE" w:rsidP="00A858BE">
      <w:pPr>
        <w:pStyle w:val="ListParagraph"/>
        <w:numPr>
          <w:ilvl w:val="0"/>
          <w:numId w:val="8"/>
        </w:numPr>
        <w:contextualSpacing w:val="0"/>
        <w:rPr>
          <w:vanish/>
          <w:lang w:eastAsia="en-GB"/>
        </w:rPr>
      </w:pPr>
    </w:p>
    <w:p w:rsidR="00D47B6E" w:rsidRDefault="00D47B6E" w:rsidP="00A858BE">
      <w:pPr>
        <w:pStyle w:val="ListParagraph"/>
        <w:numPr>
          <w:ilvl w:val="1"/>
          <w:numId w:val="8"/>
        </w:numPr>
        <w:ind w:left="567" w:hanging="567"/>
        <w:contextualSpacing w:val="0"/>
        <w:rPr>
          <w:lang w:eastAsia="en-GB"/>
        </w:rPr>
      </w:pPr>
      <w:r>
        <w:rPr>
          <w:lang w:eastAsia="en-GB"/>
        </w:rPr>
        <w:t xml:space="preserve"> </w:t>
      </w:r>
      <w:r w:rsidR="00A858BE" w:rsidRPr="002F2722">
        <w:rPr>
          <w:rFonts w:cs="Calibri"/>
        </w:rPr>
        <w:t>If an employee is supporting a family member who is transitioning, they may need to take time off to support them during the process.  Where possible managers should try to support employees to manage such requests using the provisions of the Leave of Absence Policy.</w:t>
      </w:r>
    </w:p>
    <w:p w:rsidR="00D47B6E" w:rsidRDefault="00D47B6E" w:rsidP="00D47B6E">
      <w:pPr>
        <w:rPr>
          <w:lang w:eastAsia="en-GB"/>
        </w:rPr>
      </w:pPr>
    </w:p>
    <w:p w:rsidR="00D47B6E" w:rsidRDefault="00D47B6E">
      <w:pPr>
        <w:spacing w:line="276" w:lineRule="auto"/>
        <w:jc w:val="left"/>
        <w:rPr>
          <w:lang w:eastAsia="en-GB"/>
        </w:rPr>
      </w:pPr>
      <w:r>
        <w:rPr>
          <w:lang w:eastAsia="en-GB"/>
        </w:rPr>
        <w:br w:type="page"/>
      </w:r>
    </w:p>
    <w:p w:rsidR="00D47B6E" w:rsidRDefault="00D47B6E" w:rsidP="00D47B6E">
      <w:pPr>
        <w:pStyle w:val="Heading2"/>
      </w:pPr>
      <w:r>
        <w:lastRenderedPageBreak/>
        <w:t xml:space="preserve">Appendix 1: </w:t>
      </w:r>
      <w:r w:rsidR="007722B0">
        <w:t>Glossary</w:t>
      </w:r>
    </w:p>
    <w:p w:rsidR="007722B0" w:rsidRDefault="007722B0" w:rsidP="007722B0">
      <w:pPr>
        <w:rPr>
          <w:lang w:eastAsia="en-GB"/>
        </w:rPr>
      </w:pPr>
      <w:r>
        <w:rPr>
          <w:lang w:eastAsia="en-GB"/>
        </w:rPr>
        <w:t>This is not a definitive list.</w:t>
      </w:r>
    </w:p>
    <w:tbl>
      <w:tblPr>
        <w:tblStyle w:val="TableGrid"/>
        <w:tblW w:w="0" w:type="auto"/>
        <w:tblLook w:val="04A0" w:firstRow="1" w:lastRow="0" w:firstColumn="1" w:lastColumn="0" w:noHBand="0" w:noVBand="1"/>
      </w:tblPr>
      <w:tblGrid>
        <w:gridCol w:w="4881"/>
        <w:gridCol w:w="4747"/>
      </w:tblGrid>
      <w:tr w:rsidR="007722B0" w:rsidTr="007722B0">
        <w:tc>
          <w:tcPr>
            <w:tcW w:w="3369" w:type="dxa"/>
          </w:tcPr>
          <w:p w:rsidR="007722B0" w:rsidRPr="007722B0" w:rsidRDefault="007722B0" w:rsidP="007722B0">
            <w:pPr>
              <w:rPr>
                <w:lang w:eastAsia="en-GB"/>
              </w:rPr>
            </w:pPr>
            <w:r w:rsidRPr="007722B0">
              <w:rPr>
                <w:b/>
                <w:lang w:eastAsia="en-GB"/>
              </w:rPr>
              <w:t>Cis/Cisgender</w:t>
            </w:r>
            <w:r>
              <w:rPr>
                <w:lang w:eastAsia="en-GB"/>
              </w:rPr>
              <w:t xml:space="preserve"> (pronounced sis):</w:t>
            </w:r>
          </w:p>
        </w:tc>
        <w:tc>
          <w:tcPr>
            <w:tcW w:w="6485" w:type="dxa"/>
          </w:tcPr>
          <w:p w:rsidR="007722B0" w:rsidRDefault="007722B0" w:rsidP="007722B0">
            <w:pPr>
              <w:jc w:val="left"/>
              <w:rPr>
                <w:lang w:eastAsia="en-GB"/>
              </w:rPr>
            </w:pPr>
            <w:r w:rsidRPr="001D6E5B">
              <w:rPr>
                <w:rFonts w:eastAsia="Times New Roman" w:cs="Calibri"/>
                <w:color w:val="0D0D0D"/>
                <w:spacing w:val="-1"/>
                <w:sz w:val="23"/>
                <w:szCs w:val="23"/>
                <w:lang w:val="en-US" w:eastAsia="en-GB"/>
              </w:rPr>
              <w:t>Someone who identifies exclusively with their gender assigned at birth.</w:t>
            </w:r>
            <w:r>
              <w:rPr>
                <w:rFonts w:eastAsia="Times New Roman" w:cs="Calibri"/>
                <w:color w:val="0D0D0D"/>
                <w:spacing w:val="-1"/>
                <w:sz w:val="23"/>
                <w:szCs w:val="23"/>
                <w:lang w:val="en-US" w:eastAsia="en-GB"/>
              </w:rPr>
              <w:t xml:space="preserve"> </w:t>
            </w:r>
            <w:r w:rsidRPr="001D6E5B">
              <w:rPr>
                <w:rFonts w:eastAsia="Times New Roman" w:cs="Calibri"/>
                <w:color w:val="0D0D0D"/>
                <w:spacing w:val="-1"/>
                <w:sz w:val="23"/>
                <w:szCs w:val="23"/>
                <w:lang w:val="en-US" w:eastAsia="en-GB"/>
              </w:rPr>
              <w:t xml:space="preserve"> Non-transgender is also used by some people</w:t>
            </w:r>
            <w:r w:rsidR="00943F41">
              <w:rPr>
                <w:rFonts w:eastAsia="Times New Roman" w:cs="Calibri"/>
                <w:color w:val="0D0D0D"/>
                <w:spacing w:val="-1"/>
                <w:sz w:val="23"/>
                <w:szCs w:val="23"/>
                <w:lang w:val="en-US" w:eastAsia="en-GB"/>
              </w:rPr>
              <w:t>.</w:t>
            </w:r>
          </w:p>
        </w:tc>
      </w:tr>
      <w:tr w:rsidR="007722B0" w:rsidTr="007722B0">
        <w:tc>
          <w:tcPr>
            <w:tcW w:w="3369" w:type="dxa"/>
          </w:tcPr>
          <w:p w:rsidR="007722B0" w:rsidRPr="007722B0" w:rsidRDefault="007722B0" w:rsidP="007722B0">
            <w:pPr>
              <w:rPr>
                <w:b/>
                <w:lang w:eastAsia="en-GB"/>
              </w:rPr>
            </w:pPr>
            <w:r>
              <w:rPr>
                <w:b/>
                <w:lang w:eastAsia="en-GB"/>
              </w:rPr>
              <w:t>Transgender:</w:t>
            </w:r>
          </w:p>
        </w:tc>
        <w:tc>
          <w:tcPr>
            <w:tcW w:w="6485" w:type="dxa"/>
          </w:tcPr>
          <w:p w:rsidR="007722B0" w:rsidRDefault="007722B0" w:rsidP="007722B0">
            <w:pPr>
              <w:jc w:val="left"/>
              <w:rPr>
                <w:lang w:eastAsia="en-GB"/>
              </w:rPr>
            </w:pPr>
            <w:r w:rsidRPr="001D6E5B">
              <w:rPr>
                <w:rFonts w:eastAsia="Times New Roman" w:cs="Calibri"/>
                <w:color w:val="0D0D0D"/>
                <w:spacing w:val="-1"/>
                <w:sz w:val="23"/>
                <w:szCs w:val="23"/>
                <w:lang w:val="en-US" w:eastAsia="en-GB"/>
              </w:rPr>
              <w:t>An adjective not a noun (someone is not ‘a</w:t>
            </w:r>
            <w:r w:rsidRPr="001D6E5B">
              <w:rPr>
                <w:rFonts w:eastAsia="Times New Roman" w:cs="Calibri"/>
                <w:b/>
                <w:color w:val="0D0D0D"/>
                <w:spacing w:val="-1"/>
                <w:sz w:val="23"/>
                <w:szCs w:val="23"/>
                <w:lang w:val="en-US" w:eastAsia="en-GB"/>
              </w:rPr>
              <w:t xml:space="preserve"> </w:t>
            </w:r>
            <w:r w:rsidRPr="001D6E5B">
              <w:rPr>
                <w:rFonts w:eastAsia="Times New Roman" w:cs="Calibri"/>
                <w:color w:val="0D0D0D"/>
                <w:spacing w:val="-1"/>
                <w:sz w:val="23"/>
                <w:szCs w:val="23"/>
                <w:lang w:val="en-US" w:eastAsia="en-GB"/>
              </w:rPr>
              <w:t>transgender’).</w:t>
            </w:r>
          </w:p>
        </w:tc>
      </w:tr>
      <w:tr w:rsidR="007722B0" w:rsidTr="007722B0">
        <w:tc>
          <w:tcPr>
            <w:tcW w:w="3369" w:type="dxa"/>
          </w:tcPr>
          <w:p w:rsidR="007722B0" w:rsidRPr="007722B0" w:rsidRDefault="007722B0" w:rsidP="007722B0">
            <w:pPr>
              <w:rPr>
                <w:b/>
                <w:lang w:eastAsia="en-GB"/>
              </w:rPr>
            </w:pPr>
            <w:r>
              <w:rPr>
                <w:b/>
                <w:lang w:eastAsia="en-GB"/>
              </w:rPr>
              <w:t>Sex change / pre-op / post-op:</w:t>
            </w:r>
          </w:p>
        </w:tc>
        <w:tc>
          <w:tcPr>
            <w:tcW w:w="6485" w:type="dxa"/>
          </w:tcPr>
          <w:p w:rsidR="007722B0" w:rsidRDefault="007722B0" w:rsidP="007722B0">
            <w:pPr>
              <w:jc w:val="left"/>
              <w:rPr>
                <w:lang w:eastAsia="en-GB"/>
              </w:rPr>
            </w:pPr>
            <w:r w:rsidRPr="001D6E5B">
              <w:rPr>
                <w:rFonts w:eastAsia="Times New Roman" w:cs="Calibri"/>
                <w:color w:val="0D0D0D"/>
                <w:spacing w:val="-1"/>
                <w:sz w:val="23"/>
                <w:szCs w:val="23"/>
                <w:lang w:val="en-US" w:eastAsia="en-GB"/>
              </w:rPr>
              <w:t>Inaccurately implies that someone should have surgery to transition</w:t>
            </w:r>
            <w:r w:rsidR="00943F41">
              <w:rPr>
                <w:rFonts w:eastAsia="Times New Roman" w:cs="Calibri"/>
                <w:color w:val="0D0D0D"/>
                <w:spacing w:val="-1"/>
                <w:sz w:val="23"/>
                <w:szCs w:val="23"/>
                <w:lang w:val="en-US" w:eastAsia="en-GB"/>
              </w:rPr>
              <w:t>.</w:t>
            </w:r>
          </w:p>
        </w:tc>
      </w:tr>
      <w:tr w:rsidR="007722B0" w:rsidTr="007722B0">
        <w:tc>
          <w:tcPr>
            <w:tcW w:w="3369" w:type="dxa"/>
          </w:tcPr>
          <w:p w:rsidR="007722B0" w:rsidRPr="001D6E5B" w:rsidRDefault="007722B0" w:rsidP="007722B0">
            <w:pPr>
              <w:tabs>
                <w:tab w:val="left" w:pos="3402"/>
              </w:tabs>
              <w:autoSpaceDE w:val="0"/>
              <w:autoSpaceDN w:val="0"/>
              <w:adjustRightInd w:val="0"/>
              <w:snapToGrid w:val="0"/>
              <w:spacing w:line="240" w:lineRule="auto"/>
              <w:ind w:left="3402" w:hanging="3402"/>
              <w:rPr>
                <w:rFonts w:eastAsia="Times New Roman" w:cs="Calibri"/>
                <w:b/>
                <w:color w:val="0D0D0D"/>
                <w:spacing w:val="-1"/>
                <w:sz w:val="23"/>
                <w:szCs w:val="23"/>
                <w:lang w:val="en-US" w:eastAsia="en-GB"/>
              </w:rPr>
            </w:pPr>
            <w:r w:rsidRPr="001D6E5B">
              <w:rPr>
                <w:rFonts w:eastAsia="Times New Roman" w:cs="Calibri"/>
                <w:b/>
                <w:color w:val="0D0D0D"/>
                <w:spacing w:val="-1"/>
                <w:sz w:val="23"/>
                <w:szCs w:val="23"/>
                <w:lang w:val="en-US" w:eastAsia="en-GB"/>
              </w:rPr>
              <w:t>Biologically/genetically male/</w:t>
            </w:r>
            <w:r w:rsidRPr="001D6E5B">
              <w:rPr>
                <w:rFonts w:eastAsia="Times New Roman" w:cs="Calibri"/>
                <w:b/>
                <w:color w:val="0D0D0D"/>
                <w:spacing w:val="-1"/>
                <w:sz w:val="23"/>
                <w:szCs w:val="23"/>
                <w:lang w:val="en-US" w:eastAsia="en-GB"/>
              </w:rPr>
              <w:tab/>
            </w:r>
            <w:r w:rsidRPr="001D6E5B">
              <w:rPr>
                <w:rFonts w:eastAsia="Times New Roman" w:cs="Calibri"/>
                <w:color w:val="0D0D0D"/>
                <w:spacing w:val="-1"/>
                <w:sz w:val="23"/>
                <w:szCs w:val="23"/>
                <w:lang w:val="en-US" w:eastAsia="en-GB"/>
              </w:rPr>
              <w:t>Overly-simplifies a very complex subject.  A person’s sex is determined by a number of factors; a person’s biology</w:t>
            </w:r>
          </w:p>
          <w:p w:rsidR="007722B0" w:rsidRPr="007722B0" w:rsidRDefault="007722B0" w:rsidP="007722B0">
            <w:pPr>
              <w:rPr>
                <w:b/>
                <w:lang w:eastAsia="en-GB"/>
              </w:rPr>
            </w:pPr>
            <w:r w:rsidRPr="001D6E5B">
              <w:rPr>
                <w:rFonts w:eastAsia="Times New Roman" w:cs="Calibri"/>
                <w:b/>
                <w:color w:val="0D0D0D"/>
                <w:spacing w:val="-1"/>
                <w:sz w:val="23"/>
                <w:szCs w:val="23"/>
                <w:lang w:val="en-US" w:eastAsia="en-GB"/>
              </w:rPr>
              <w:t>female or born male/</w:t>
            </w:r>
            <w:r>
              <w:rPr>
                <w:rFonts w:eastAsia="Times New Roman" w:cs="Calibri"/>
                <w:b/>
                <w:color w:val="0D0D0D"/>
                <w:spacing w:val="-1"/>
                <w:sz w:val="23"/>
                <w:szCs w:val="23"/>
                <w:lang w:val="en-US" w:eastAsia="en-GB"/>
              </w:rPr>
              <w:t>female:</w:t>
            </w:r>
          </w:p>
        </w:tc>
        <w:tc>
          <w:tcPr>
            <w:tcW w:w="6485" w:type="dxa"/>
          </w:tcPr>
          <w:p w:rsidR="007722B0" w:rsidRDefault="007722B0" w:rsidP="007722B0">
            <w:pPr>
              <w:jc w:val="left"/>
              <w:rPr>
                <w:lang w:eastAsia="en-GB"/>
              </w:rPr>
            </w:pPr>
            <w:r w:rsidRPr="001D6E5B">
              <w:rPr>
                <w:rFonts w:eastAsia="Times New Roman" w:cs="Calibri"/>
                <w:color w:val="0D0D0D"/>
                <w:spacing w:val="-1"/>
                <w:sz w:val="23"/>
                <w:szCs w:val="23"/>
                <w:lang w:val="en-US" w:eastAsia="en-GB"/>
              </w:rPr>
              <w:t>Overly-simplifies a very complex subject.  A person’s sex is determined by a number of factors; a person’s biology</w:t>
            </w:r>
            <w:r>
              <w:rPr>
                <w:rFonts w:eastAsia="Times New Roman" w:cs="Calibri"/>
                <w:color w:val="0D0D0D"/>
                <w:spacing w:val="-1"/>
                <w:sz w:val="23"/>
                <w:szCs w:val="23"/>
                <w:lang w:val="en-US" w:eastAsia="en-GB"/>
              </w:rPr>
              <w:t xml:space="preserve"> </w:t>
            </w:r>
            <w:r w:rsidRPr="001D6E5B">
              <w:rPr>
                <w:rFonts w:eastAsia="Times New Roman" w:cs="Calibri"/>
                <w:color w:val="0D0D0D"/>
                <w:spacing w:val="-1"/>
                <w:sz w:val="23"/>
                <w:szCs w:val="23"/>
                <w:lang w:val="en-US" w:eastAsia="en-GB"/>
              </w:rPr>
              <w:t>does not define a</w:t>
            </w:r>
            <w:r w:rsidRPr="001D6E5B">
              <w:rPr>
                <w:rFonts w:eastAsia="Times New Roman" w:cs="Calibri"/>
                <w:b/>
                <w:color w:val="0D0D0D"/>
                <w:spacing w:val="-1"/>
                <w:sz w:val="23"/>
                <w:szCs w:val="23"/>
                <w:lang w:val="en-US" w:eastAsia="en-GB"/>
              </w:rPr>
              <w:t xml:space="preserve"> </w:t>
            </w:r>
            <w:r w:rsidRPr="001D6E5B">
              <w:rPr>
                <w:rFonts w:eastAsia="Times New Roman" w:cs="Calibri"/>
                <w:color w:val="0D0D0D"/>
                <w:spacing w:val="-1"/>
                <w:sz w:val="23"/>
                <w:szCs w:val="23"/>
                <w:lang w:val="en-US" w:eastAsia="en-GB"/>
              </w:rPr>
              <w:t>person’s gender identity.</w:t>
            </w:r>
            <w:r>
              <w:rPr>
                <w:rFonts w:eastAsia="Times New Roman" w:cs="Calibri"/>
                <w:color w:val="0D0D0D"/>
                <w:spacing w:val="-1"/>
                <w:sz w:val="23"/>
                <w:szCs w:val="23"/>
                <w:lang w:val="en-US" w:eastAsia="en-GB"/>
              </w:rPr>
              <w:t xml:space="preserve"> </w:t>
            </w:r>
            <w:r w:rsidRPr="001D6E5B">
              <w:rPr>
                <w:rFonts w:eastAsia="Times New Roman" w:cs="Calibri"/>
                <w:color w:val="0D0D0D"/>
                <w:spacing w:val="-1"/>
                <w:sz w:val="23"/>
                <w:szCs w:val="23"/>
                <w:lang w:val="en-US" w:eastAsia="en-GB"/>
              </w:rPr>
              <w:t xml:space="preserve"> Assigned/designated at birth is preferable term.</w:t>
            </w:r>
          </w:p>
        </w:tc>
      </w:tr>
      <w:tr w:rsidR="007722B0" w:rsidTr="007722B0">
        <w:tc>
          <w:tcPr>
            <w:tcW w:w="3369" w:type="dxa"/>
          </w:tcPr>
          <w:p w:rsidR="007722B0" w:rsidRPr="007722B0" w:rsidRDefault="007722B0" w:rsidP="007722B0">
            <w:pPr>
              <w:rPr>
                <w:b/>
                <w:lang w:eastAsia="en-GB"/>
              </w:rPr>
            </w:pPr>
            <w:r w:rsidRPr="001D6E5B">
              <w:rPr>
                <w:rFonts w:eastAsia="Times New Roman" w:cs="Calibri"/>
                <w:b/>
                <w:color w:val="0D0D0D"/>
                <w:spacing w:val="-1"/>
                <w:sz w:val="23"/>
                <w:szCs w:val="23"/>
                <w:lang w:val="en-US" w:eastAsia="en-GB"/>
              </w:rPr>
              <w:t>Gender dysphoria</w:t>
            </w:r>
            <w:r>
              <w:rPr>
                <w:rFonts w:eastAsia="Times New Roman" w:cs="Calibri"/>
                <w:b/>
                <w:color w:val="0D0D0D"/>
                <w:spacing w:val="-1"/>
                <w:sz w:val="23"/>
                <w:szCs w:val="23"/>
                <w:lang w:val="en-US" w:eastAsia="en-GB"/>
              </w:rPr>
              <w:t>:</w:t>
            </w:r>
          </w:p>
        </w:tc>
        <w:tc>
          <w:tcPr>
            <w:tcW w:w="6485" w:type="dxa"/>
          </w:tcPr>
          <w:p w:rsidR="007722B0" w:rsidRDefault="007722B0" w:rsidP="00943F41">
            <w:pPr>
              <w:jc w:val="left"/>
              <w:rPr>
                <w:lang w:eastAsia="en-GB"/>
              </w:rPr>
            </w:pPr>
            <w:r>
              <w:rPr>
                <w:rFonts w:eastAsia="Times New Roman" w:cs="Calibri"/>
                <w:color w:val="0D0D0D"/>
                <w:spacing w:val="-1"/>
                <w:sz w:val="23"/>
                <w:szCs w:val="23"/>
                <w:lang w:val="en-US" w:eastAsia="en-GB"/>
              </w:rPr>
              <w:t>D</w:t>
            </w:r>
            <w:r w:rsidRPr="001D6E5B">
              <w:rPr>
                <w:rFonts w:eastAsia="Times New Roman" w:cs="Calibri"/>
                <w:color w:val="0D0D0D"/>
                <w:spacing w:val="-1"/>
                <w:sz w:val="23"/>
                <w:szCs w:val="23"/>
                <w:lang w:val="en-US" w:eastAsia="en-GB"/>
              </w:rPr>
              <w:t>escribes when a person experiences distress</w:t>
            </w:r>
            <w:r w:rsidRPr="001D6E5B">
              <w:rPr>
                <w:rFonts w:eastAsia="Times New Roman" w:cs="Calibri"/>
                <w:b/>
                <w:color w:val="0D0D0D"/>
                <w:spacing w:val="-1"/>
                <w:sz w:val="23"/>
                <w:szCs w:val="23"/>
                <w:lang w:val="en-US" w:eastAsia="en-GB"/>
              </w:rPr>
              <w:t xml:space="preserve"> </w:t>
            </w:r>
            <w:r w:rsidRPr="001D6E5B">
              <w:rPr>
                <w:rFonts w:eastAsia="Times New Roman" w:cs="Calibri"/>
                <w:color w:val="0D0D0D"/>
                <w:spacing w:val="-1"/>
                <w:sz w:val="23"/>
                <w:szCs w:val="23"/>
                <w:lang w:val="en-US" w:eastAsia="en-GB"/>
              </w:rPr>
              <w:t xml:space="preserve">because of a mismatch between their sex assigned at </w:t>
            </w:r>
            <w:r>
              <w:rPr>
                <w:rFonts w:eastAsia="Times New Roman" w:cs="Calibri"/>
                <w:color w:val="0D0D0D"/>
                <w:spacing w:val="-1"/>
                <w:sz w:val="23"/>
                <w:szCs w:val="23"/>
                <w:lang w:val="en-US" w:eastAsia="en-GB"/>
              </w:rPr>
              <w:t>birth and their gender identity</w:t>
            </w:r>
            <w:r w:rsidR="00943F41">
              <w:rPr>
                <w:rFonts w:eastAsia="Times New Roman" w:cs="Calibri"/>
                <w:color w:val="0D0D0D"/>
                <w:spacing w:val="-1"/>
                <w:sz w:val="23"/>
                <w:szCs w:val="23"/>
                <w:lang w:val="en-US" w:eastAsia="en-GB"/>
              </w:rPr>
              <w:t>.  (Also a clinical diagnosis)</w:t>
            </w:r>
          </w:p>
        </w:tc>
      </w:tr>
      <w:tr w:rsidR="007722B0" w:rsidTr="007722B0">
        <w:trPr>
          <w:trHeight w:val="106"/>
        </w:trPr>
        <w:tc>
          <w:tcPr>
            <w:tcW w:w="3369" w:type="dxa"/>
          </w:tcPr>
          <w:p w:rsidR="007722B0" w:rsidRPr="007722B0" w:rsidRDefault="007722B0" w:rsidP="007722B0">
            <w:pPr>
              <w:rPr>
                <w:b/>
                <w:lang w:eastAsia="en-GB"/>
              </w:rPr>
            </w:pPr>
            <w:r w:rsidRPr="001D6E5B">
              <w:rPr>
                <w:rFonts w:eastAsia="Times New Roman" w:cs="Calibri"/>
                <w:b/>
                <w:color w:val="0D0D0D"/>
                <w:spacing w:val="-1"/>
                <w:sz w:val="23"/>
                <w:szCs w:val="23"/>
                <w:lang w:val="en-US" w:eastAsia="en-GB"/>
              </w:rPr>
              <w:t xml:space="preserve">Gender </w:t>
            </w:r>
            <w:r>
              <w:rPr>
                <w:rFonts w:eastAsia="Times New Roman" w:cs="Calibri"/>
                <w:b/>
                <w:color w:val="0D0D0D"/>
                <w:spacing w:val="-1"/>
                <w:sz w:val="23"/>
                <w:szCs w:val="23"/>
                <w:lang w:val="en-US" w:eastAsia="en-GB"/>
              </w:rPr>
              <w:t>reassignment:</w:t>
            </w:r>
          </w:p>
        </w:tc>
        <w:tc>
          <w:tcPr>
            <w:tcW w:w="6485" w:type="dxa"/>
          </w:tcPr>
          <w:p w:rsidR="007722B0" w:rsidRDefault="00943F41" w:rsidP="007722B0">
            <w:pPr>
              <w:jc w:val="left"/>
              <w:rPr>
                <w:lang w:eastAsia="en-GB"/>
              </w:rPr>
            </w:pPr>
            <w:r>
              <w:rPr>
                <w:rFonts w:eastAsia="Times New Roman" w:cs="Calibri"/>
                <w:color w:val="0D0D0D"/>
                <w:spacing w:val="-1"/>
                <w:sz w:val="23"/>
                <w:szCs w:val="23"/>
                <w:lang w:val="en-US" w:eastAsia="en-GB"/>
              </w:rPr>
              <w:t>T</w:t>
            </w:r>
            <w:r w:rsidRPr="001D6E5B">
              <w:rPr>
                <w:rFonts w:eastAsia="Times New Roman" w:cs="Calibri"/>
                <w:color w:val="0D0D0D"/>
                <w:spacing w:val="-1"/>
                <w:sz w:val="23"/>
                <w:szCs w:val="23"/>
                <w:lang w:val="en-US" w:eastAsia="en-GB"/>
              </w:rPr>
              <w:t>o undergo this can mean medical intervention but it can also mean changing names, pronouns, dressing differently and living in their gender not the one assigned</w:t>
            </w:r>
            <w:r>
              <w:rPr>
                <w:rFonts w:eastAsia="Times New Roman" w:cs="Calibri"/>
                <w:color w:val="0D0D0D"/>
                <w:spacing w:val="-1"/>
                <w:sz w:val="23"/>
                <w:szCs w:val="23"/>
                <w:lang w:val="en-US" w:eastAsia="en-GB"/>
              </w:rPr>
              <w:t>.</w:t>
            </w:r>
          </w:p>
        </w:tc>
      </w:tr>
      <w:tr w:rsidR="007722B0" w:rsidTr="007722B0">
        <w:tc>
          <w:tcPr>
            <w:tcW w:w="3369" w:type="dxa"/>
          </w:tcPr>
          <w:p w:rsidR="007722B0" w:rsidRPr="007722B0" w:rsidRDefault="007722B0" w:rsidP="007722B0">
            <w:pPr>
              <w:rPr>
                <w:b/>
                <w:lang w:eastAsia="en-GB"/>
              </w:rPr>
            </w:pPr>
            <w:r w:rsidRPr="001D6E5B">
              <w:rPr>
                <w:rFonts w:eastAsia="Times New Roman" w:cs="Calibri"/>
                <w:b/>
                <w:color w:val="0D0D0D"/>
                <w:spacing w:val="-1"/>
                <w:sz w:val="23"/>
                <w:szCs w:val="23"/>
                <w:lang w:val="en-US" w:eastAsia="en-GB"/>
              </w:rPr>
              <w:t xml:space="preserve">Gender </w:t>
            </w:r>
            <w:r>
              <w:rPr>
                <w:rFonts w:eastAsia="Times New Roman" w:cs="Calibri"/>
                <w:b/>
                <w:color w:val="0D0D0D"/>
                <w:spacing w:val="-1"/>
                <w:sz w:val="23"/>
                <w:szCs w:val="23"/>
                <w:lang w:val="en-US" w:eastAsia="en-GB"/>
              </w:rPr>
              <w:t>stereotypes:</w:t>
            </w:r>
          </w:p>
        </w:tc>
        <w:tc>
          <w:tcPr>
            <w:tcW w:w="6485" w:type="dxa"/>
          </w:tcPr>
          <w:p w:rsidR="007722B0" w:rsidRDefault="00943F41" w:rsidP="007722B0">
            <w:pPr>
              <w:jc w:val="left"/>
              <w:rPr>
                <w:lang w:eastAsia="en-GB"/>
              </w:rPr>
            </w:pPr>
            <w:r>
              <w:rPr>
                <w:lang w:eastAsia="en-GB"/>
              </w:rPr>
              <w:t xml:space="preserve">The </w:t>
            </w:r>
            <w:r w:rsidRPr="001D6E5B">
              <w:rPr>
                <w:rFonts w:eastAsia="Times New Roman" w:cs="Calibri"/>
                <w:color w:val="0D0D0D"/>
                <w:spacing w:val="-1"/>
                <w:sz w:val="23"/>
                <w:szCs w:val="23"/>
                <w:lang w:val="en-US" w:eastAsia="en-GB"/>
              </w:rPr>
              <w:t>way people are expected to behave based on their perceived gender</w:t>
            </w:r>
            <w:r>
              <w:rPr>
                <w:rFonts w:eastAsia="Times New Roman" w:cs="Calibri"/>
                <w:color w:val="0D0D0D"/>
                <w:spacing w:val="-1"/>
                <w:sz w:val="23"/>
                <w:szCs w:val="23"/>
                <w:lang w:val="en-US" w:eastAsia="en-GB"/>
              </w:rPr>
              <w:t>.</w:t>
            </w:r>
          </w:p>
        </w:tc>
      </w:tr>
      <w:tr w:rsidR="007722B0" w:rsidTr="007722B0">
        <w:tc>
          <w:tcPr>
            <w:tcW w:w="3369" w:type="dxa"/>
          </w:tcPr>
          <w:p w:rsidR="007722B0" w:rsidRPr="007722B0" w:rsidRDefault="007722B0" w:rsidP="007722B0">
            <w:pPr>
              <w:rPr>
                <w:b/>
                <w:lang w:eastAsia="en-GB"/>
              </w:rPr>
            </w:pPr>
            <w:r>
              <w:rPr>
                <w:rFonts w:eastAsia="Times New Roman" w:cs="Calibri"/>
                <w:b/>
                <w:color w:val="0D0D0D"/>
                <w:spacing w:val="-1"/>
                <w:sz w:val="23"/>
                <w:szCs w:val="23"/>
                <w:lang w:val="en-US" w:eastAsia="en-GB"/>
              </w:rPr>
              <w:t>Gender variant:</w:t>
            </w:r>
          </w:p>
        </w:tc>
        <w:tc>
          <w:tcPr>
            <w:tcW w:w="6485" w:type="dxa"/>
          </w:tcPr>
          <w:p w:rsidR="007722B0" w:rsidRDefault="00943F41" w:rsidP="007722B0">
            <w:pPr>
              <w:jc w:val="left"/>
              <w:rPr>
                <w:lang w:eastAsia="en-GB"/>
              </w:rPr>
            </w:pPr>
            <w:r>
              <w:rPr>
                <w:rFonts w:eastAsia="Times New Roman" w:cs="Calibri"/>
                <w:color w:val="0D0D0D"/>
                <w:spacing w:val="-1"/>
                <w:sz w:val="23"/>
                <w:szCs w:val="23"/>
                <w:lang w:val="en-US" w:eastAsia="en-GB"/>
              </w:rPr>
              <w:t>S</w:t>
            </w:r>
            <w:r w:rsidRPr="001D6E5B">
              <w:rPr>
                <w:rFonts w:eastAsia="Times New Roman" w:cs="Calibri"/>
                <w:color w:val="0D0D0D"/>
                <w:spacing w:val="-1"/>
                <w:sz w:val="23"/>
                <w:szCs w:val="23"/>
                <w:lang w:val="en-US" w:eastAsia="en-GB"/>
              </w:rPr>
              <w:t>omeone who doesn’t conform to gender stereotypes</w:t>
            </w:r>
            <w:r>
              <w:rPr>
                <w:rFonts w:eastAsia="Times New Roman" w:cs="Calibri"/>
                <w:color w:val="0D0D0D"/>
                <w:spacing w:val="-1"/>
                <w:sz w:val="23"/>
                <w:szCs w:val="23"/>
                <w:lang w:val="en-US" w:eastAsia="en-GB"/>
              </w:rPr>
              <w:t>.</w:t>
            </w:r>
          </w:p>
        </w:tc>
      </w:tr>
      <w:tr w:rsidR="007722B0" w:rsidTr="007722B0">
        <w:tc>
          <w:tcPr>
            <w:tcW w:w="3369" w:type="dxa"/>
          </w:tcPr>
          <w:p w:rsidR="007722B0" w:rsidRPr="007722B0" w:rsidRDefault="007722B0" w:rsidP="007722B0">
            <w:pPr>
              <w:rPr>
                <w:b/>
                <w:lang w:eastAsia="en-GB"/>
              </w:rPr>
            </w:pPr>
            <w:r w:rsidRPr="001D6E5B">
              <w:rPr>
                <w:rFonts w:eastAsia="Times New Roman" w:cs="Calibri"/>
                <w:b/>
                <w:color w:val="0D0D0D"/>
                <w:spacing w:val="-1"/>
                <w:sz w:val="23"/>
                <w:szCs w:val="23"/>
                <w:lang w:val="en-US" w:eastAsia="en-GB"/>
              </w:rPr>
              <w:t xml:space="preserve">Gender </w:t>
            </w:r>
            <w:r>
              <w:rPr>
                <w:rFonts w:eastAsia="Times New Roman" w:cs="Calibri"/>
                <w:b/>
                <w:color w:val="0D0D0D"/>
                <w:spacing w:val="-1"/>
                <w:sz w:val="23"/>
                <w:szCs w:val="23"/>
                <w:lang w:val="en-US" w:eastAsia="en-GB"/>
              </w:rPr>
              <w:t>binary:</w:t>
            </w:r>
          </w:p>
        </w:tc>
        <w:tc>
          <w:tcPr>
            <w:tcW w:w="6485" w:type="dxa"/>
          </w:tcPr>
          <w:p w:rsidR="007722B0" w:rsidRDefault="00943F41" w:rsidP="007722B0">
            <w:pPr>
              <w:jc w:val="left"/>
              <w:rPr>
                <w:lang w:eastAsia="en-GB"/>
              </w:rPr>
            </w:pPr>
            <w:r>
              <w:rPr>
                <w:rFonts w:eastAsia="Times New Roman" w:cs="Calibri"/>
                <w:color w:val="0D0D0D"/>
                <w:spacing w:val="-1"/>
                <w:sz w:val="23"/>
                <w:szCs w:val="23"/>
                <w:lang w:val="en-US" w:eastAsia="en-GB"/>
              </w:rPr>
              <w:t>R</w:t>
            </w:r>
            <w:r w:rsidRPr="001D6E5B">
              <w:rPr>
                <w:rFonts w:eastAsia="Times New Roman" w:cs="Calibri"/>
                <w:color w:val="0D0D0D"/>
                <w:spacing w:val="-1"/>
                <w:sz w:val="23"/>
                <w:szCs w:val="23"/>
                <w:lang w:val="en-US" w:eastAsia="en-GB"/>
              </w:rPr>
              <w:t>elates to the view that gender is male or female; however</w:t>
            </w:r>
            <w:r>
              <w:rPr>
                <w:rFonts w:eastAsia="Times New Roman" w:cs="Calibri"/>
                <w:color w:val="0D0D0D"/>
                <w:spacing w:val="-1"/>
                <w:sz w:val="23"/>
                <w:szCs w:val="23"/>
                <w:lang w:val="en-US" w:eastAsia="en-GB"/>
              </w:rPr>
              <w:t>,</w:t>
            </w:r>
            <w:r w:rsidRPr="001D6E5B">
              <w:rPr>
                <w:rFonts w:eastAsia="Times New Roman" w:cs="Calibri"/>
                <w:color w:val="0D0D0D"/>
                <w:spacing w:val="-1"/>
                <w:sz w:val="23"/>
                <w:szCs w:val="23"/>
                <w:lang w:val="en-US" w:eastAsia="en-GB"/>
              </w:rPr>
              <w:t xml:space="preserve"> many people do not relate to being distinctly male or female.</w:t>
            </w:r>
          </w:p>
        </w:tc>
      </w:tr>
      <w:tr w:rsidR="007722B0" w:rsidTr="007722B0">
        <w:tc>
          <w:tcPr>
            <w:tcW w:w="3369" w:type="dxa"/>
          </w:tcPr>
          <w:p w:rsidR="007722B0" w:rsidRPr="007722B0" w:rsidRDefault="007722B0" w:rsidP="007722B0">
            <w:pPr>
              <w:rPr>
                <w:b/>
                <w:lang w:eastAsia="en-GB"/>
              </w:rPr>
            </w:pPr>
            <w:r>
              <w:rPr>
                <w:b/>
                <w:lang w:eastAsia="en-GB"/>
              </w:rPr>
              <w:t>Non-binary:</w:t>
            </w:r>
          </w:p>
        </w:tc>
        <w:tc>
          <w:tcPr>
            <w:tcW w:w="6485" w:type="dxa"/>
          </w:tcPr>
          <w:p w:rsidR="007722B0" w:rsidRDefault="00943F41" w:rsidP="007722B0">
            <w:pPr>
              <w:jc w:val="left"/>
              <w:rPr>
                <w:lang w:eastAsia="en-GB"/>
              </w:rPr>
            </w:pPr>
            <w:r>
              <w:rPr>
                <w:rFonts w:eastAsia="Times New Roman" w:cs="Calibri"/>
                <w:color w:val="0D0D0D"/>
                <w:spacing w:val="-1"/>
                <w:sz w:val="23"/>
                <w:szCs w:val="23"/>
                <w:lang w:val="en-US" w:eastAsia="en-GB"/>
              </w:rPr>
              <w:t>U</w:t>
            </w:r>
            <w:r w:rsidRPr="001D6E5B">
              <w:rPr>
                <w:rFonts w:eastAsia="Times New Roman" w:cs="Calibri"/>
                <w:color w:val="0D0D0D"/>
                <w:spacing w:val="-1"/>
                <w:sz w:val="23"/>
                <w:szCs w:val="23"/>
                <w:lang w:val="en-US" w:eastAsia="en-GB"/>
              </w:rPr>
              <w:t>mbrella term for someone who does not feel that they are either male or female</w:t>
            </w:r>
            <w:r>
              <w:rPr>
                <w:rFonts w:eastAsia="Times New Roman" w:cs="Calibri"/>
                <w:color w:val="0D0D0D"/>
                <w:spacing w:val="-1"/>
                <w:sz w:val="23"/>
                <w:szCs w:val="23"/>
                <w:lang w:val="en-US" w:eastAsia="en-GB"/>
              </w:rPr>
              <w:t>.</w:t>
            </w:r>
          </w:p>
        </w:tc>
      </w:tr>
      <w:tr w:rsidR="007722B0" w:rsidTr="007722B0">
        <w:tc>
          <w:tcPr>
            <w:tcW w:w="3369" w:type="dxa"/>
          </w:tcPr>
          <w:p w:rsidR="007722B0" w:rsidRPr="007722B0" w:rsidRDefault="007722B0" w:rsidP="007722B0">
            <w:pPr>
              <w:rPr>
                <w:b/>
                <w:lang w:eastAsia="en-GB"/>
              </w:rPr>
            </w:pPr>
            <w:r>
              <w:rPr>
                <w:rFonts w:eastAsia="Times New Roman" w:cs="Calibri"/>
                <w:b/>
                <w:color w:val="0D0D0D"/>
                <w:spacing w:val="-1"/>
                <w:sz w:val="23"/>
                <w:szCs w:val="23"/>
                <w:lang w:val="en-US" w:eastAsia="en-GB"/>
              </w:rPr>
              <w:t>Gender-queer:</w:t>
            </w:r>
          </w:p>
        </w:tc>
        <w:tc>
          <w:tcPr>
            <w:tcW w:w="6485" w:type="dxa"/>
          </w:tcPr>
          <w:p w:rsidR="007722B0" w:rsidRDefault="00943F41" w:rsidP="007722B0">
            <w:pPr>
              <w:jc w:val="left"/>
              <w:rPr>
                <w:lang w:eastAsia="en-GB"/>
              </w:rPr>
            </w:pPr>
            <w:r>
              <w:rPr>
                <w:rFonts w:eastAsia="Times New Roman" w:cs="Calibri"/>
                <w:color w:val="0D0D0D"/>
                <w:spacing w:val="-1"/>
                <w:sz w:val="23"/>
                <w:szCs w:val="23"/>
                <w:lang w:val="en-US" w:eastAsia="en-GB"/>
              </w:rPr>
              <w:t>P</w:t>
            </w:r>
            <w:r w:rsidRPr="001D6E5B">
              <w:rPr>
                <w:rFonts w:eastAsia="Times New Roman" w:cs="Calibri"/>
                <w:color w:val="0D0D0D"/>
                <w:spacing w:val="-1"/>
                <w:sz w:val="23"/>
                <w:szCs w:val="23"/>
                <w:lang w:val="en-US" w:eastAsia="en-GB"/>
              </w:rPr>
              <w:t>erson who does not subscribe to conventional gender distinctions but identifies with neither, both or a combination of male and female genders</w:t>
            </w:r>
            <w:r>
              <w:rPr>
                <w:rFonts w:eastAsia="Times New Roman" w:cs="Calibri"/>
                <w:color w:val="0D0D0D"/>
                <w:spacing w:val="-1"/>
                <w:sz w:val="23"/>
                <w:szCs w:val="23"/>
                <w:lang w:val="en-US" w:eastAsia="en-GB"/>
              </w:rPr>
              <w:t>.</w:t>
            </w:r>
          </w:p>
        </w:tc>
      </w:tr>
      <w:tr w:rsidR="007722B0" w:rsidTr="007722B0">
        <w:tc>
          <w:tcPr>
            <w:tcW w:w="3369" w:type="dxa"/>
          </w:tcPr>
          <w:p w:rsidR="007722B0" w:rsidRPr="007722B0" w:rsidRDefault="007722B0" w:rsidP="007722B0">
            <w:pPr>
              <w:rPr>
                <w:b/>
                <w:lang w:eastAsia="en-GB"/>
              </w:rPr>
            </w:pPr>
            <w:r w:rsidRPr="001D6E5B">
              <w:rPr>
                <w:rFonts w:eastAsia="Times New Roman" w:cs="Calibri"/>
                <w:b/>
                <w:color w:val="0D0D0D"/>
                <w:spacing w:val="-1"/>
                <w:sz w:val="23"/>
                <w:szCs w:val="23"/>
                <w:lang w:val="en-US" w:eastAsia="en-GB"/>
              </w:rPr>
              <w:t xml:space="preserve">Gender </w:t>
            </w:r>
            <w:r>
              <w:rPr>
                <w:rFonts w:eastAsia="Times New Roman" w:cs="Calibri"/>
                <w:b/>
                <w:color w:val="0D0D0D"/>
                <w:spacing w:val="-1"/>
                <w:sz w:val="23"/>
                <w:szCs w:val="23"/>
                <w:lang w:val="en-US" w:eastAsia="en-GB"/>
              </w:rPr>
              <w:t>fluid</w:t>
            </w:r>
          </w:p>
        </w:tc>
        <w:tc>
          <w:tcPr>
            <w:tcW w:w="6485" w:type="dxa"/>
          </w:tcPr>
          <w:p w:rsidR="007722B0" w:rsidRDefault="00943F41" w:rsidP="007722B0">
            <w:pPr>
              <w:jc w:val="left"/>
              <w:rPr>
                <w:lang w:eastAsia="en-GB"/>
              </w:rPr>
            </w:pPr>
            <w:r>
              <w:rPr>
                <w:rFonts w:eastAsia="Times New Roman" w:cs="Calibri"/>
                <w:color w:val="0D0D0D"/>
                <w:spacing w:val="-1"/>
                <w:sz w:val="23"/>
                <w:szCs w:val="23"/>
                <w:lang w:val="en-US" w:eastAsia="en-GB"/>
              </w:rPr>
              <w:t>A</w:t>
            </w:r>
            <w:r w:rsidRPr="001D6E5B">
              <w:rPr>
                <w:rFonts w:eastAsia="Times New Roman" w:cs="Calibri"/>
                <w:color w:val="0D0D0D"/>
                <w:spacing w:val="-1"/>
                <w:sz w:val="23"/>
                <w:szCs w:val="23"/>
                <w:lang w:val="en-US" w:eastAsia="en-GB"/>
              </w:rPr>
              <w:t xml:space="preserve"> person who does not have a fixed gender</w:t>
            </w:r>
            <w:r>
              <w:rPr>
                <w:rFonts w:eastAsia="Times New Roman" w:cs="Calibri"/>
                <w:color w:val="0D0D0D"/>
                <w:spacing w:val="-1"/>
                <w:sz w:val="23"/>
                <w:szCs w:val="23"/>
                <w:lang w:val="en-US" w:eastAsia="en-GB"/>
              </w:rPr>
              <w:t>.</w:t>
            </w:r>
          </w:p>
        </w:tc>
      </w:tr>
      <w:tr w:rsidR="007722B0" w:rsidTr="007722B0">
        <w:tc>
          <w:tcPr>
            <w:tcW w:w="3369" w:type="dxa"/>
          </w:tcPr>
          <w:p w:rsidR="007722B0" w:rsidRPr="007722B0" w:rsidRDefault="007722B0" w:rsidP="007722B0">
            <w:pPr>
              <w:rPr>
                <w:lang w:eastAsia="en-GB"/>
              </w:rPr>
            </w:pPr>
            <w:r>
              <w:rPr>
                <w:b/>
                <w:lang w:eastAsia="en-GB"/>
              </w:rPr>
              <w:t>Mx</w:t>
            </w:r>
            <w:r>
              <w:rPr>
                <w:lang w:eastAsia="en-GB"/>
              </w:rPr>
              <w:t xml:space="preserve"> (pronounced </w:t>
            </w:r>
            <w:proofErr w:type="spellStart"/>
            <w:r>
              <w:rPr>
                <w:lang w:eastAsia="en-GB"/>
              </w:rPr>
              <w:t>miks</w:t>
            </w:r>
            <w:proofErr w:type="spellEnd"/>
            <w:r>
              <w:rPr>
                <w:lang w:eastAsia="en-GB"/>
              </w:rPr>
              <w:t>):</w:t>
            </w:r>
          </w:p>
        </w:tc>
        <w:tc>
          <w:tcPr>
            <w:tcW w:w="6485" w:type="dxa"/>
          </w:tcPr>
          <w:p w:rsidR="007722B0" w:rsidRDefault="00943F41" w:rsidP="007722B0">
            <w:pPr>
              <w:jc w:val="left"/>
              <w:rPr>
                <w:lang w:eastAsia="en-GB"/>
              </w:rPr>
            </w:pPr>
            <w:r>
              <w:rPr>
                <w:rFonts w:eastAsia="Times New Roman" w:cs="Calibri"/>
                <w:color w:val="0D0D0D"/>
                <w:spacing w:val="-1"/>
                <w:sz w:val="23"/>
                <w:szCs w:val="23"/>
                <w:lang w:val="en-US" w:eastAsia="en-GB"/>
              </w:rPr>
              <w:t>A</w:t>
            </w:r>
            <w:r w:rsidRPr="001D6E5B">
              <w:rPr>
                <w:rFonts w:eastAsia="Times New Roman" w:cs="Calibri"/>
                <w:color w:val="0D0D0D"/>
                <w:spacing w:val="-1"/>
                <w:sz w:val="23"/>
                <w:szCs w:val="23"/>
                <w:lang w:val="en-US" w:eastAsia="en-GB"/>
              </w:rPr>
              <w:t xml:space="preserve">n honorific title before a person’s surname or full name used to avoid specifying gender or by </w:t>
            </w:r>
            <w:r w:rsidRPr="001D6E5B">
              <w:rPr>
                <w:rFonts w:eastAsia="Times New Roman" w:cs="Calibri"/>
                <w:color w:val="0D0D0D"/>
                <w:spacing w:val="-1"/>
                <w:sz w:val="23"/>
                <w:szCs w:val="23"/>
                <w:lang w:val="en-US" w:eastAsia="en-GB"/>
              </w:rPr>
              <w:lastRenderedPageBreak/>
              <w:t>those who prefer not to identify themselves as male or female</w:t>
            </w:r>
            <w:r>
              <w:rPr>
                <w:rFonts w:eastAsia="Times New Roman" w:cs="Calibri"/>
                <w:color w:val="0D0D0D"/>
                <w:spacing w:val="-1"/>
                <w:sz w:val="23"/>
                <w:szCs w:val="23"/>
                <w:lang w:val="en-US" w:eastAsia="en-GB"/>
              </w:rPr>
              <w:t>.</w:t>
            </w:r>
          </w:p>
        </w:tc>
      </w:tr>
      <w:tr w:rsidR="007722B0" w:rsidTr="007722B0">
        <w:tc>
          <w:tcPr>
            <w:tcW w:w="3369" w:type="dxa"/>
          </w:tcPr>
          <w:p w:rsidR="007722B0" w:rsidRPr="007722B0" w:rsidRDefault="007722B0" w:rsidP="007722B0">
            <w:pPr>
              <w:rPr>
                <w:b/>
                <w:lang w:eastAsia="en-GB"/>
              </w:rPr>
            </w:pPr>
            <w:r>
              <w:rPr>
                <w:b/>
                <w:lang w:eastAsia="en-GB"/>
              </w:rPr>
              <w:lastRenderedPageBreak/>
              <w:t>Pronoun:</w:t>
            </w:r>
          </w:p>
        </w:tc>
        <w:tc>
          <w:tcPr>
            <w:tcW w:w="6485" w:type="dxa"/>
          </w:tcPr>
          <w:p w:rsidR="007722B0" w:rsidRDefault="00943F41" w:rsidP="007722B0">
            <w:pPr>
              <w:jc w:val="left"/>
              <w:rPr>
                <w:lang w:eastAsia="en-GB"/>
              </w:rPr>
            </w:pPr>
            <w:r>
              <w:rPr>
                <w:rFonts w:eastAsia="Times New Roman" w:cs="Calibri"/>
                <w:color w:val="0D0D0D"/>
                <w:spacing w:val="-1"/>
                <w:sz w:val="23"/>
                <w:szCs w:val="23"/>
                <w:lang w:val="en-US" w:eastAsia="en-GB"/>
              </w:rPr>
              <w:t>R</w:t>
            </w:r>
            <w:r w:rsidRPr="001D6E5B">
              <w:rPr>
                <w:rFonts w:eastAsia="Times New Roman" w:cs="Calibri"/>
                <w:color w:val="0D0D0D"/>
                <w:spacing w:val="-1"/>
                <w:sz w:val="23"/>
                <w:szCs w:val="23"/>
                <w:lang w:val="en-US" w:eastAsia="en-GB"/>
              </w:rPr>
              <w:t xml:space="preserve">efers to a person’s gender in conversation.  Some people may prefer to be referred to in gender neutral language (they/their or </w:t>
            </w:r>
            <w:proofErr w:type="spellStart"/>
            <w:r w:rsidRPr="001D6E5B">
              <w:rPr>
                <w:rFonts w:eastAsia="Times New Roman" w:cs="Calibri"/>
                <w:color w:val="0D0D0D"/>
                <w:spacing w:val="-1"/>
                <w:sz w:val="23"/>
                <w:szCs w:val="23"/>
                <w:lang w:val="en-US" w:eastAsia="en-GB"/>
              </w:rPr>
              <w:t>zi</w:t>
            </w:r>
            <w:proofErr w:type="spellEnd"/>
            <w:r w:rsidRPr="001D6E5B">
              <w:rPr>
                <w:rFonts w:eastAsia="Times New Roman" w:cs="Calibri"/>
                <w:color w:val="0D0D0D"/>
                <w:spacing w:val="-1"/>
                <w:sz w:val="23"/>
                <w:szCs w:val="23"/>
                <w:lang w:val="en-US" w:eastAsia="en-GB"/>
              </w:rPr>
              <w:t>/</w:t>
            </w:r>
            <w:proofErr w:type="spellStart"/>
            <w:r w:rsidRPr="001D6E5B">
              <w:rPr>
                <w:rFonts w:eastAsia="Times New Roman" w:cs="Calibri"/>
                <w:color w:val="0D0D0D"/>
                <w:spacing w:val="-1"/>
                <w:sz w:val="23"/>
                <w:szCs w:val="23"/>
                <w:lang w:val="en-US" w:eastAsia="en-GB"/>
              </w:rPr>
              <w:t>zir</w:t>
            </w:r>
            <w:proofErr w:type="spellEnd"/>
            <w:r w:rsidRPr="001D6E5B">
              <w:rPr>
                <w:rFonts w:eastAsia="Times New Roman" w:cs="Calibri"/>
                <w:color w:val="0D0D0D"/>
                <w:spacing w:val="-1"/>
                <w:sz w:val="23"/>
                <w:szCs w:val="23"/>
                <w:lang w:val="en-US" w:eastAsia="en-GB"/>
              </w:rPr>
              <w:t>)</w:t>
            </w:r>
            <w:r>
              <w:rPr>
                <w:rFonts w:eastAsia="Times New Roman" w:cs="Calibri"/>
                <w:color w:val="0D0D0D"/>
                <w:spacing w:val="-1"/>
                <w:sz w:val="23"/>
                <w:szCs w:val="23"/>
                <w:lang w:val="en-US" w:eastAsia="en-GB"/>
              </w:rPr>
              <w:t xml:space="preserve">. </w:t>
            </w:r>
            <w:r w:rsidRPr="001D6E5B">
              <w:rPr>
                <w:rFonts w:eastAsia="Times New Roman" w:cs="Calibri"/>
                <w:color w:val="0D0D0D"/>
                <w:spacing w:val="-1"/>
                <w:sz w:val="23"/>
                <w:szCs w:val="23"/>
                <w:lang w:val="en-US" w:eastAsia="en-GB"/>
              </w:rPr>
              <w:t xml:space="preserve"> If you aren’t sure it is far better to ask than just guess</w:t>
            </w:r>
            <w:r>
              <w:rPr>
                <w:rFonts w:eastAsia="Times New Roman" w:cs="Calibri"/>
                <w:color w:val="0D0D0D"/>
                <w:spacing w:val="-1"/>
                <w:sz w:val="23"/>
                <w:szCs w:val="23"/>
                <w:lang w:val="en-US" w:eastAsia="en-GB"/>
              </w:rPr>
              <w:t>.</w:t>
            </w:r>
          </w:p>
        </w:tc>
      </w:tr>
    </w:tbl>
    <w:p w:rsidR="007722B0" w:rsidRPr="007722B0" w:rsidRDefault="007722B0" w:rsidP="007722B0">
      <w:pPr>
        <w:rPr>
          <w:lang w:eastAsia="en-GB"/>
        </w:rPr>
      </w:pPr>
    </w:p>
    <w:p w:rsidR="00D47B6E" w:rsidRDefault="00D47B6E" w:rsidP="00D47B6E">
      <w:pPr>
        <w:rPr>
          <w:lang w:eastAsia="en-GB"/>
        </w:rPr>
      </w:pPr>
    </w:p>
    <w:p w:rsidR="00D47B6E" w:rsidRDefault="00D47B6E">
      <w:pPr>
        <w:spacing w:line="276" w:lineRule="auto"/>
        <w:jc w:val="left"/>
        <w:rPr>
          <w:lang w:eastAsia="en-GB"/>
        </w:rPr>
      </w:pPr>
      <w:r>
        <w:rPr>
          <w:lang w:eastAsia="en-GB"/>
        </w:rPr>
        <w:br w:type="page"/>
      </w:r>
    </w:p>
    <w:p w:rsidR="00D47B6E" w:rsidRDefault="00D47B6E" w:rsidP="00D47B6E">
      <w:pPr>
        <w:pStyle w:val="Heading2"/>
      </w:pPr>
      <w:r>
        <w:lastRenderedPageBreak/>
        <w:t>Appendix 2: Template Action Plan</w:t>
      </w:r>
    </w:p>
    <w:p w:rsidR="00943F41" w:rsidRDefault="00943F41" w:rsidP="00943F41">
      <w:pPr>
        <w:rPr>
          <w:rFonts w:eastAsia="Times New Roman" w:cs="Calibri"/>
          <w:color w:val="0D0D0D"/>
          <w:sz w:val="24"/>
          <w:szCs w:val="24"/>
          <w:lang w:val="en-US" w:eastAsia="en-GB"/>
        </w:rPr>
      </w:pPr>
      <w:r w:rsidRPr="00D869CD">
        <w:rPr>
          <w:rFonts w:eastAsia="Times New Roman" w:cs="Calibri"/>
          <w:color w:val="0D0D0D"/>
          <w:spacing w:val="-1"/>
          <w:sz w:val="24"/>
          <w:szCs w:val="24"/>
          <w:lang w:val="en-US" w:eastAsia="en-GB"/>
        </w:rPr>
        <w:t>This type of template is a useful starting point to develop a plan.</w:t>
      </w:r>
      <w:r w:rsidRPr="00D869CD">
        <w:rPr>
          <w:rFonts w:eastAsia="Times New Roman" w:cs="Calibri"/>
          <w:color w:val="0D0D0D"/>
          <w:spacing w:val="7"/>
          <w:sz w:val="24"/>
          <w:szCs w:val="24"/>
          <w:lang w:val="en-US" w:eastAsia="en-GB"/>
        </w:rPr>
        <w:t xml:space="preserve"> </w:t>
      </w:r>
      <w:r w:rsidRPr="00D869CD">
        <w:rPr>
          <w:rFonts w:eastAsia="Times New Roman" w:cs="Calibri"/>
          <w:color w:val="0D0D0D"/>
          <w:spacing w:val="-1"/>
          <w:sz w:val="24"/>
          <w:szCs w:val="24"/>
          <w:lang w:val="en-US" w:eastAsia="en-GB"/>
        </w:rPr>
        <w:t>Questions and poi</w:t>
      </w:r>
      <w:r>
        <w:rPr>
          <w:rFonts w:eastAsia="Times New Roman" w:cs="Calibri"/>
          <w:color w:val="0D0D0D"/>
          <w:sz w:val="24"/>
          <w:szCs w:val="24"/>
          <w:lang w:val="en-US" w:eastAsia="en-GB"/>
        </w:rPr>
        <w:t>nts to consider.</w:t>
      </w:r>
    </w:p>
    <w:p w:rsidR="00943F41" w:rsidRDefault="00943F41" w:rsidP="00943F41">
      <w:pPr>
        <w:pStyle w:val="Heading3"/>
        <w:rPr>
          <w:lang w:eastAsia="en-GB"/>
        </w:rPr>
      </w:pPr>
      <w:r>
        <w:rPr>
          <w:lang w:eastAsia="en-GB"/>
        </w:rPr>
        <w:t xml:space="preserve">Who </w:t>
      </w:r>
      <w:r w:rsidR="00A6475D">
        <w:rPr>
          <w:lang w:eastAsia="en-GB"/>
        </w:rPr>
        <w:t>n</w:t>
      </w:r>
      <w:r>
        <w:rPr>
          <w:lang w:eastAsia="en-GB"/>
        </w:rPr>
        <w:t xml:space="preserve">eeds to </w:t>
      </w:r>
      <w:r w:rsidR="00A6475D">
        <w:rPr>
          <w:lang w:eastAsia="en-GB"/>
        </w:rPr>
        <w:t>k</w:t>
      </w:r>
      <w:r>
        <w:rPr>
          <w:lang w:eastAsia="en-GB"/>
        </w:rPr>
        <w:t>now?</w:t>
      </w:r>
    </w:p>
    <w:tbl>
      <w:tblPr>
        <w:tblStyle w:val="TableGrid"/>
        <w:tblW w:w="0" w:type="auto"/>
        <w:tblLook w:val="04A0" w:firstRow="1" w:lastRow="0" w:firstColumn="1" w:lastColumn="0" w:noHBand="0" w:noVBand="1"/>
      </w:tblPr>
      <w:tblGrid>
        <w:gridCol w:w="2409"/>
        <w:gridCol w:w="2400"/>
        <w:gridCol w:w="2403"/>
        <w:gridCol w:w="2416"/>
      </w:tblGrid>
      <w:tr w:rsidR="00943F41" w:rsidTr="003B2651">
        <w:tc>
          <w:tcPr>
            <w:tcW w:w="2463" w:type="dxa"/>
            <w:shd w:val="clear" w:color="auto" w:fill="D9D9D9" w:themeFill="background1" w:themeFillShade="D9"/>
          </w:tcPr>
          <w:p w:rsidR="00943F41" w:rsidRPr="00943F41" w:rsidRDefault="00943F41" w:rsidP="00943F41">
            <w:pPr>
              <w:spacing w:line="240" w:lineRule="auto"/>
              <w:rPr>
                <w:b/>
                <w:lang w:val="en-US" w:eastAsia="en-GB"/>
              </w:rPr>
            </w:pPr>
          </w:p>
        </w:tc>
        <w:tc>
          <w:tcPr>
            <w:tcW w:w="2463" w:type="dxa"/>
            <w:shd w:val="clear" w:color="auto" w:fill="D9D9D9" w:themeFill="background1" w:themeFillShade="D9"/>
            <w:vAlign w:val="center"/>
          </w:tcPr>
          <w:p w:rsidR="00943F41" w:rsidRPr="00675312" w:rsidRDefault="00943F41" w:rsidP="00675312">
            <w:pPr>
              <w:autoSpaceDE w:val="0"/>
              <w:autoSpaceDN w:val="0"/>
              <w:adjustRightInd w:val="0"/>
              <w:snapToGrid w:val="0"/>
              <w:spacing w:line="240" w:lineRule="auto"/>
              <w:jc w:val="center"/>
              <w:rPr>
                <w:rFonts w:eastAsia="Times New Roman" w:cs="Calibri"/>
                <w:color w:val="0D0D0D"/>
                <w:lang w:val="en-US" w:eastAsia="en-GB"/>
              </w:rPr>
            </w:pPr>
            <w:r w:rsidRPr="00675312">
              <w:rPr>
                <w:rFonts w:eastAsia="Times New Roman" w:cs="Calibri"/>
                <w:color w:val="0D0D0D"/>
                <w:lang w:val="en-US" w:eastAsia="en-GB"/>
              </w:rPr>
              <w:t>Who will tell</w:t>
            </w:r>
            <w:r w:rsidR="00A6475D" w:rsidRPr="00675312">
              <w:rPr>
                <w:rFonts w:eastAsia="Times New Roman" w:cs="Calibri"/>
                <w:color w:val="0D0D0D"/>
                <w:lang w:val="en-US" w:eastAsia="en-GB"/>
              </w:rPr>
              <w:t xml:space="preserve"> </w:t>
            </w:r>
            <w:r w:rsidRPr="00675312">
              <w:rPr>
                <w:rFonts w:eastAsia="Times New Roman" w:cs="Calibri"/>
                <w:color w:val="0D0D0D"/>
                <w:lang w:val="en-US" w:eastAsia="en-GB"/>
              </w:rPr>
              <w:t>them?</w:t>
            </w:r>
          </w:p>
        </w:tc>
        <w:tc>
          <w:tcPr>
            <w:tcW w:w="2464" w:type="dxa"/>
            <w:shd w:val="clear" w:color="auto" w:fill="D9D9D9" w:themeFill="background1" w:themeFillShade="D9"/>
            <w:vAlign w:val="center"/>
          </w:tcPr>
          <w:p w:rsidR="00943F41" w:rsidRPr="00675312" w:rsidRDefault="00943F41" w:rsidP="00675312">
            <w:pPr>
              <w:autoSpaceDE w:val="0"/>
              <w:autoSpaceDN w:val="0"/>
              <w:adjustRightInd w:val="0"/>
              <w:snapToGrid w:val="0"/>
              <w:spacing w:line="240" w:lineRule="auto"/>
              <w:jc w:val="center"/>
              <w:rPr>
                <w:rFonts w:eastAsia="Times New Roman" w:cs="Calibri"/>
                <w:color w:val="0D0D0D"/>
                <w:lang w:val="en-US" w:eastAsia="en-GB"/>
              </w:rPr>
            </w:pPr>
            <w:r w:rsidRPr="00675312">
              <w:rPr>
                <w:rFonts w:eastAsia="Times New Roman" w:cs="Calibri"/>
                <w:color w:val="0D0D0D"/>
                <w:lang w:val="en-US" w:eastAsia="en-GB"/>
              </w:rPr>
              <w:t>When?</w:t>
            </w:r>
          </w:p>
        </w:tc>
        <w:tc>
          <w:tcPr>
            <w:tcW w:w="2464" w:type="dxa"/>
            <w:shd w:val="clear" w:color="auto" w:fill="D9D9D9" w:themeFill="background1" w:themeFillShade="D9"/>
            <w:vAlign w:val="center"/>
          </w:tcPr>
          <w:p w:rsidR="00943F41" w:rsidRPr="00675312" w:rsidRDefault="00943F41" w:rsidP="00675312">
            <w:pPr>
              <w:autoSpaceDE w:val="0"/>
              <w:autoSpaceDN w:val="0"/>
              <w:adjustRightInd w:val="0"/>
              <w:snapToGrid w:val="0"/>
              <w:spacing w:line="240" w:lineRule="auto"/>
              <w:jc w:val="center"/>
              <w:rPr>
                <w:rFonts w:eastAsia="Times New Roman" w:cs="Calibri"/>
                <w:color w:val="0D0D0D"/>
                <w:lang w:val="en-US" w:eastAsia="en-GB"/>
              </w:rPr>
            </w:pPr>
            <w:r w:rsidRPr="00675312">
              <w:rPr>
                <w:rFonts w:eastAsia="Times New Roman" w:cs="Calibri"/>
                <w:color w:val="0D0D0D"/>
                <w:lang w:val="en-US" w:eastAsia="en-GB"/>
              </w:rPr>
              <w:t>Date</w:t>
            </w:r>
            <w:r w:rsidR="00A6475D" w:rsidRPr="00675312">
              <w:rPr>
                <w:rFonts w:eastAsia="Times New Roman" w:cs="Calibri"/>
                <w:color w:val="0D0D0D"/>
                <w:lang w:val="en-US" w:eastAsia="en-GB"/>
              </w:rPr>
              <w:t xml:space="preserve"> </w:t>
            </w:r>
            <w:r w:rsidRPr="00675312">
              <w:rPr>
                <w:rFonts w:eastAsia="Times New Roman" w:cs="Calibri"/>
                <w:color w:val="0D0D0D"/>
                <w:lang w:val="en-US" w:eastAsia="en-GB"/>
              </w:rPr>
              <w:t>completed</w:t>
            </w:r>
          </w:p>
        </w:tc>
      </w:tr>
      <w:tr w:rsidR="00943F41" w:rsidTr="00675312">
        <w:tc>
          <w:tcPr>
            <w:tcW w:w="2463" w:type="dxa"/>
            <w:shd w:val="clear" w:color="auto" w:fill="D9D9D9" w:themeFill="background1" w:themeFillShade="D9"/>
          </w:tcPr>
          <w:p w:rsidR="00943F41" w:rsidRPr="00675312" w:rsidRDefault="00943F41" w:rsidP="00943F41">
            <w:pPr>
              <w:rPr>
                <w:lang w:val="en-US" w:eastAsia="en-GB"/>
              </w:rPr>
            </w:pPr>
            <w:r w:rsidRPr="00675312">
              <w:rPr>
                <w:lang w:val="en-US" w:eastAsia="en-GB"/>
              </w:rPr>
              <w:t>Head Teacher</w:t>
            </w:r>
          </w:p>
        </w:tc>
        <w:tc>
          <w:tcPr>
            <w:tcW w:w="2463" w:type="dxa"/>
          </w:tcPr>
          <w:p w:rsidR="00943F41" w:rsidRDefault="00943F41" w:rsidP="00943F41">
            <w:pPr>
              <w:rPr>
                <w:lang w:val="en-US" w:eastAsia="en-GB"/>
              </w:rPr>
            </w:pPr>
          </w:p>
        </w:tc>
        <w:tc>
          <w:tcPr>
            <w:tcW w:w="2464" w:type="dxa"/>
          </w:tcPr>
          <w:p w:rsidR="00943F41" w:rsidRDefault="00943F41" w:rsidP="00943F41">
            <w:pPr>
              <w:rPr>
                <w:lang w:val="en-US" w:eastAsia="en-GB"/>
              </w:rPr>
            </w:pPr>
          </w:p>
        </w:tc>
        <w:tc>
          <w:tcPr>
            <w:tcW w:w="2464" w:type="dxa"/>
          </w:tcPr>
          <w:p w:rsidR="00943F41" w:rsidRDefault="00943F41" w:rsidP="00943F41">
            <w:pPr>
              <w:rPr>
                <w:lang w:val="en-US" w:eastAsia="en-GB"/>
              </w:rPr>
            </w:pPr>
          </w:p>
        </w:tc>
      </w:tr>
      <w:tr w:rsidR="00943F41" w:rsidTr="00675312">
        <w:tc>
          <w:tcPr>
            <w:tcW w:w="2463" w:type="dxa"/>
            <w:shd w:val="clear" w:color="auto" w:fill="D9D9D9" w:themeFill="background1" w:themeFillShade="D9"/>
          </w:tcPr>
          <w:p w:rsidR="00943F41" w:rsidRPr="00675312" w:rsidRDefault="00943F41" w:rsidP="00943F41">
            <w:pPr>
              <w:rPr>
                <w:lang w:val="en-US" w:eastAsia="en-GB"/>
              </w:rPr>
            </w:pPr>
            <w:r w:rsidRPr="00675312">
              <w:rPr>
                <w:lang w:val="en-US" w:eastAsia="en-GB"/>
              </w:rPr>
              <w:t>HR / Office Manager</w:t>
            </w:r>
          </w:p>
        </w:tc>
        <w:tc>
          <w:tcPr>
            <w:tcW w:w="2463" w:type="dxa"/>
          </w:tcPr>
          <w:p w:rsidR="00943F41" w:rsidRDefault="00943F41" w:rsidP="00943F41">
            <w:pPr>
              <w:rPr>
                <w:lang w:val="en-US" w:eastAsia="en-GB"/>
              </w:rPr>
            </w:pPr>
          </w:p>
        </w:tc>
        <w:tc>
          <w:tcPr>
            <w:tcW w:w="2464" w:type="dxa"/>
          </w:tcPr>
          <w:p w:rsidR="00943F41" w:rsidRDefault="00943F41" w:rsidP="00943F41">
            <w:pPr>
              <w:rPr>
                <w:lang w:val="en-US" w:eastAsia="en-GB"/>
              </w:rPr>
            </w:pPr>
          </w:p>
        </w:tc>
        <w:tc>
          <w:tcPr>
            <w:tcW w:w="2464" w:type="dxa"/>
          </w:tcPr>
          <w:p w:rsidR="00943F41" w:rsidRDefault="00943F41" w:rsidP="00943F41">
            <w:pPr>
              <w:rPr>
                <w:lang w:val="en-US" w:eastAsia="en-GB"/>
              </w:rPr>
            </w:pPr>
          </w:p>
        </w:tc>
      </w:tr>
      <w:tr w:rsidR="00943F41" w:rsidTr="00675312">
        <w:tc>
          <w:tcPr>
            <w:tcW w:w="2463" w:type="dxa"/>
            <w:shd w:val="clear" w:color="auto" w:fill="D9D9D9" w:themeFill="background1" w:themeFillShade="D9"/>
          </w:tcPr>
          <w:p w:rsidR="00943F41" w:rsidRPr="00675312" w:rsidRDefault="00943F41" w:rsidP="00943F41">
            <w:pPr>
              <w:rPr>
                <w:lang w:val="en-US" w:eastAsia="en-GB"/>
              </w:rPr>
            </w:pPr>
            <w:r w:rsidRPr="00675312">
              <w:rPr>
                <w:lang w:val="en-US" w:eastAsia="en-GB"/>
              </w:rPr>
              <w:t>Line Manager</w:t>
            </w:r>
          </w:p>
        </w:tc>
        <w:tc>
          <w:tcPr>
            <w:tcW w:w="2463" w:type="dxa"/>
          </w:tcPr>
          <w:p w:rsidR="00943F41" w:rsidRDefault="00943F41" w:rsidP="00943F41">
            <w:pPr>
              <w:rPr>
                <w:lang w:val="en-US" w:eastAsia="en-GB"/>
              </w:rPr>
            </w:pPr>
          </w:p>
        </w:tc>
        <w:tc>
          <w:tcPr>
            <w:tcW w:w="2464" w:type="dxa"/>
          </w:tcPr>
          <w:p w:rsidR="00943F41" w:rsidRDefault="00943F41" w:rsidP="00943F41">
            <w:pPr>
              <w:rPr>
                <w:lang w:val="en-US" w:eastAsia="en-GB"/>
              </w:rPr>
            </w:pPr>
          </w:p>
        </w:tc>
        <w:tc>
          <w:tcPr>
            <w:tcW w:w="2464" w:type="dxa"/>
          </w:tcPr>
          <w:p w:rsidR="00943F41" w:rsidRDefault="00943F41" w:rsidP="00943F41">
            <w:pPr>
              <w:rPr>
                <w:lang w:val="en-US" w:eastAsia="en-GB"/>
              </w:rPr>
            </w:pPr>
          </w:p>
        </w:tc>
      </w:tr>
      <w:tr w:rsidR="00943F41" w:rsidTr="00675312">
        <w:tc>
          <w:tcPr>
            <w:tcW w:w="2463" w:type="dxa"/>
            <w:shd w:val="clear" w:color="auto" w:fill="D9D9D9" w:themeFill="background1" w:themeFillShade="D9"/>
          </w:tcPr>
          <w:p w:rsidR="00943F41" w:rsidRPr="00675312" w:rsidRDefault="00943F41" w:rsidP="00943F41">
            <w:pPr>
              <w:rPr>
                <w:lang w:val="en-US" w:eastAsia="en-GB"/>
              </w:rPr>
            </w:pPr>
            <w:r w:rsidRPr="00675312">
              <w:rPr>
                <w:lang w:val="en-US" w:eastAsia="en-GB"/>
              </w:rPr>
              <w:t>Others (please specify)</w:t>
            </w:r>
          </w:p>
        </w:tc>
        <w:tc>
          <w:tcPr>
            <w:tcW w:w="2463" w:type="dxa"/>
          </w:tcPr>
          <w:p w:rsidR="00943F41" w:rsidRDefault="00943F41" w:rsidP="00943F41">
            <w:pPr>
              <w:rPr>
                <w:lang w:val="en-US" w:eastAsia="en-GB"/>
              </w:rPr>
            </w:pPr>
          </w:p>
        </w:tc>
        <w:tc>
          <w:tcPr>
            <w:tcW w:w="2464" w:type="dxa"/>
          </w:tcPr>
          <w:p w:rsidR="00943F41" w:rsidRDefault="00943F41" w:rsidP="00943F41">
            <w:pPr>
              <w:rPr>
                <w:lang w:val="en-US" w:eastAsia="en-GB"/>
              </w:rPr>
            </w:pPr>
          </w:p>
        </w:tc>
        <w:tc>
          <w:tcPr>
            <w:tcW w:w="2464" w:type="dxa"/>
          </w:tcPr>
          <w:p w:rsidR="00943F41" w:rsidRDefault="00943F41" w:rsidP="00943F41">
            <w:pPr>
              <w:rPr>
                <w:lang w:val="en-US" w:eastAsia="en-GB"/>
              </w:rPr>
            </w:pPr>
          </w:p>
        </w:tc>
      </w:tr>
    </w:tbl>
    <w:p w:rsidR="00943F41" w:rsidRDefault="00943F41" w:rsidP="00943F41">
      <w:pPr>
        <w:pStyle w:val="Heading3"/>
        <w:rPr>
          <w:lang w:eastAsia="en-GB"/>
        </w:rPr>
      </w:pPr>
      <w:r>
        <w:rPr>
          <w:lang w:eastAsia="en-GB"/>
        </w:rPr>
        <w:t xml:space="preserve">Planning the </w:t>
      </w:r>
      <w:r w:rsidR="00A6475D">
        <w:rPr>
          <w:lang w:eastAsia="en-GB"/>
        </w:rPr>
        <w:t>f</w:t>
      </w:r>
      <w:r>
        <w:rPr>
          <w:lang w:eastAsia="en-GB"/>
        </w:rPr>
        <w:t>uture</w:t>
      </w:r>
    </w:p>
    <w:tbl>
      <w:tblPr>
        <w:tblStyle w:val="TableGrid"/>
        <w:tblW w:w="0" w:type="auto"/>
        <w:tblLook w:val="04A0" w:firstRow="1" w:lastRow="0" w:firstColumn="1" w:lastColumn="0" w:noHBand="0" w:noVBand="1"/>
      </w:tblPr>
      <w:tblGrid>
        <w:gridCol w:w="2756"/>
        <w:gridCol w:w="6872"/>
      </w:tblGrid>
      <w:tr w:rsidR="00943F41" w:rsidTr="00943F41">
        <w:tc>
          <w:tcPr>
            <w:tcW w:w="2802" w:type="dxa"/>
            <w:shd w:val="clear" w:color="auto" w:fill="D9D9D9" w:themeFill="background1" w:themeFillShade="D9"/>
          </w:tcPr>
          <w:p w:rsidR="00943F41" w:rsidRPr="00675312" w:rsidRDefault="00943F41" w:rsidP="00943F41">
            <w:pPr>
              <w:rPr>
                <w:lang w:val="en-US" w:eastAsia="en-GB"/>
              </w:rPr>
            </w:pPr>
            <w:r w:rsidRPr="00675312">
              <w:rPr>
                <w:lang w:val="en-US" w:eastAsia="en-GB"/>
              </w:rPr>
              <w:t xml:space="preserve">Your new name </w:t>
            </w:r>
          </w:p>
          <w:p w:rsidR="00943F41" w:rsidRPr="00675312" w:rsidRDefault="00943F41" w:rsidP="00943F41">
            <w:pPr>
              <w:rPr>
                <w:lang w:val="en-US" w:eastAsia="en-GB"/>
              </w:rPr>
            </w:pPr>
            <w:r w:rsidRPr="00675312">
              <w:rPr>
                <w:lang w:val="en-US" w:eastAsia="en-GB"/>
              </w:rPr>
              <w:t>(in full, if known):</w:t>
            </w:r>
          </w:p>
        </w:tc>
        <w:tc>
          <w:tcPr>
            <w:tcW w:w="7052" w:type="dxa"/>
          </w:tcPr>
          <w:p w:rsidR="00943F41" w:rsidRDefault="00943F41" w:rsidP="00943F41">
            <w:pPr>
              <w:rPr>
                <w:lang w:val="en-US" w:eastAsia="en-GB"/>
              </w:rPr>
            </w:pPr>
          </w:p>
        </w:tc>
      </w:tr>
      <w:tr w:rsidR="00943F41" w:rsidTr="00A6475D">
        <w:trPr>
          <w:trHeight w:val="537"/>
        </w:trPr>
        <w:tc>
          <w:tcPr>
            <w:tcW w:w="2802" w:type="dxa"/>
            <w:shd w:val="clear" w:color="auto" w:fill="D9D9D9" w:themeFill="background1" w:themeFillShade="D9"/>
            <w:vAlign w:val="center"/>
          </w:tcPr>
          <w:p w:rsidR="00943F41" w:rsidRPr="00675312" w:rsidRDefault="00943F41" w:rsidP="00A6475D">
            <w:pPr>
              <w:jc w:val="left"/>
              <w:rPr>
                <w:lang w:val="en-US" w:eastAsia="en-GB"/>
              </w:rPr>
            </w:pPr>
            <w:r w:rsidRPr="00675312">
              <w:rPr>
                <w:lang w:val="en-US" w:eastAsia="en-GB"/>
              </w:rPr>
              <w:t>Your role:</w:t>
            </w:r>
          </w:p>
        </w:tc>
        <w:tc>
          <w:tcPr>
            <w:tcW w:w="7052" w:type="dxa"/>
          </w:tcPr>
          <w:p w:rsidR="00943F41" w:rsidRDefault="00943F41" w:rsidP="00943F41">
            <w:pPr>
              <w:rPr>
                <w:lang w:val="en-US" w:eastAsia="en-GB"/>
              </w:rPr>
            </w:pPr>
          </w:p>
        </w:tc>
      </w:tr>
      <w:tr w:rsidR="00943F41" w:rsidTr="00A6475D">
        <w:trPr>
          <w:trHeight w:val="527"/>
        </w:trPr>
        <w:tc>
          <w:tcPr>
            <w:tcW w:w="2802" w:type="dxa"/>
            <w:shd w:val="clear" w:color="auto" w:fill="D9D9D9" w:themeFill="background1" w:themeFillShade="D9"/>
            <w:vAlign w:val="center"/>
          </w:tcPr>
          <w:p w:rsidR="00943F41" w:rsidRPr="00675312" w:rsidRDefault="00943F41" w:rsidP="00A6475D">
            <w:pPr>
              <w:jc w:val="left"/>
              <w:rPr>
                <w:lang w:val="en-US" w:eastAsia="en-GB"/>
              </w:rPr>
            </w:pPr>
            <w:r w:rsidRPr="00675312">
              <w:rPr>
                <w:lang w:val="en-US" w:eastAsia="en-GB"/>
              </w:rPr>
              <w:t>Name of Line Manager:</w:t>
            </w:r>
          </w:p>
        </w:tc>
        <w:tc>
          <w:tcPr>
            <w:tcW w:w="7052" w:type="dxa"/>
          </w:tcPr>
          <w:p w:rsidR="00943F41" w:rsidRDefault="00943F41" w:rsidP="00943F41">
            <w:pPr>
              <w:rPr>
                <w:lang w:val="en-US" w:eastAsia="en-GB"/>
              </w:rPr>
            </w:pPr>
          </w:p>
        </w:tc>
      </w:tr>
    </w:tbl>
    <w:p w:rsidR="00943F41" w:rsidRDefault="00A6475D" w:rsidP="00A6475D">
      <w:pPr>
        <w:pStyle w:val="Heading3"/>
        <w:rPr>
          <w:lang w:eastAsia="en-GB"/>
        </w:rPr>
      </w:pPr>
      <w:r>
        <w:rPr>
          <w:lang w:eastAsia="en-GB"/>
        </w:rPr>
        <w:t>Telling colleagues/friends and people you work with/external customers</w:t>
      </w:r>
    </w:p>
    <w:p w:rsidR="00A6475D" w:rsidRPr="00A6475D" w:rsidRDefault="00A6475D" w:rsidP="00A6475D">
      <w:pPr>
        <w:pStyle w:val="ListParagraph"/>
        <w:rPr>
          <w:lang w:eastAsia="en-GB"/>
        </w:rPr>
      </w:pPr>
      <w:r w:rsidRPr="00A6475D">
        <w:rPr>
          <w:lang w:eastAsia="en-GB"/>
        </w:rPr>
        <w:t>Who will tell colleagues/external customers?</w:t>
      </w:r>
    </w:p>
    <w:p w:rsidR="00A6475D" w:rsidRPr="00A6475D" w:rsidRDefault="00A6475D" w:rsidP="00A6475D">
      <w:pPr>
        <w:pStyle w:val="ListParagraph"/>
        <w:rPr>
          <w:lang w:eastAsia="en-GB"/>
        </w:rPr>
      </w:pPr>
      <w:r w:rsidRPr="00A6475D">
        <w:rPr>
          <w:lang w:eastAsia="en-GB"/>
        </w:rPr>
        <w:t>Will you be there?</w:t>
      </w:r>
    </w:p>
    <w:p w:rsidR="00A6475D" w:rsidRPr="00A6475D" w:rsidRDefault="00A6475D" w:rsidP="00A6475D">
      <w:pPr>
        <w:pStyle w:val="ListParagraph"/>
        <w:rPr>
          <w:lang w:eastAsia="en-GB"/>
        </w:rPr>
      </w:pPr>
      <w:r w:rsidRPr="00A6475D">
        <w:rPr>
          <w:lang w:eastAsia="en-GB"/>
        </w:rPr>
        <w:t>When will this take place?</w:t>
      </w:r>
    </w:p>
    <w:p w:rsidR="00A6475D" w:rsidRPr="00A6475D" w:rsidRDefault="00A6475D" w:rsidP="00A6475D">
      <w:pPr>
        <w:pStyle w:val="ListParagraph"/>
        <w:rPr>
          <w:lang w:eastAsia="en-GB"/>
        </w:rPr>
      </w:pPr>
      <w:r w:rsidRPr="00A6475D">
        <w:rPr>
          <w:lang w:eastAsia="en-GB"/>
        </w:rPr>
        <w:t>Where will this take place?</w:t>
      </w:r>
    </w:p>
    <w:p w:rsidR="00A6475D" w:rsidRDefault="00A6475D" w:rsidP="00A6475D">
      <w:pPr>
        <w:pStyle w:val="ListParagraph"/>
        <w:rPr>
          <w:lang w:eastAsia="en-GB"/>
        </w:rPr>
      </w:pPr>
      <w:r w:rsidRPr="00A6475D">
        <w:rPr>
          <w:lang w:eastAsia="en-GB"/>
        </w:rPr>
        <w:t>What information will be provided?</w:t>
      </w:r>
    </w:p>
    <w:p w:rsidR="00A6475D" w:rsidRDefault="00A6475D" w:rsidP="00A6475D">
      <w:pPr>
        <w:pStyle w:val="Heading3"/>
        <w:rPr>
          <w:lang w:eastAsia="en-GB"/>
        </w:rPr>
      </w:pPr>
      <w:r>
        <w:rPr>
          <w:lang w:eastAsia="en-GB"/>
        </w:rPr>
        <w:t>Getting ready for your first day back</w:t>
      </w:r>
    </w:p>
    <w:p w:rsidR="00A6475D" w:rsidRDefault="00A6475D" w:rsidP="00A6475D">
      <w:pPr>
        <w:pStyle w:val="ListParagraph"/>
        <w:rPr>
          <w:lang w:eastAsia="en-GB"/>
        </w:rPr>
      </w:pPr>
      <w:r>
        <w:rPr>
          <w:lang w:eastAsia="en-GB"/>
        </w:rPr>
        <w:t>When will this be?</w:t>
      </w:r>
    </w:p>
    <w:p w:rsidR="00A6475D" w:rsidRDefault="00A6475D" w:rsidP="00A6475D">
      <w:pPr>
        <w:pStyle w:val="ListParagraph"/>
        <w:rPr>
          <w:lang w:eastAsia="en-GB"/>
        </w:rPr>
      </w:pPr>
      <w:r>
        <w:rPr>
          <w:lang w:eastAsia="en-GB"/>
        </w:rPr>
        <w:t>Change of role?</w:t>
      </w:r>
    </w:p>
    <w:p w:rsidR="00A6475D" w:rsidRDefault="00A6475D" w:rsidP="00A6475D">
      <w:pPr>
        <w:pStyle w:val="ListParagraph"/>
        <w:rPr>
          <w:lang w:eastAsia="en-GB"/>
        </w:rPr>
      </w:pPr>
      <w:r>
        <w:rPr>
          <w:lang w:eastAsia="en-GB"/>
        </w:rPr>
        <w:t>Are you ready?</w:t>
      </w:r>
    </w:p>
    <w:p w:rsidR="00A6475D" w:rsidRDefault="00A6475D" w:rsidP="00A6475D">
      <w:pPr>
        <w:pStyle w:val="ListParagraph"/>
        <w:rPr>
          <w:lang w:eastAsia="en-GB"/>
        </w:rPr>
      </w:pPr>
      <w:r>
        <w:rPr>
          <w:lang w:eastAsia="en-GB"/>
        </w:rPr>
        <w:t>Are colleagues ready?</w:t>
      </w:r>
    </w:p>
    <w:p w:rsidR="00A6475D" w:rsidRDefault="00A6475D" w:rsidP="00A6475D">
      <w:pPr>
        <w:pStyle w:val="ListParagraph"/>
        <w:rPr>
          <w:lang w:eastAsia="en-GB"/>
        </w:rPr>
      </w:pPr>
      <w:r>
        <w:rPr>
          <w:lang w:eastAsia="en-GB"/>
        </w:rPr>
        <w:t>Additional support for you and/or family?</w:t>
      </w:r>
    </w:p>
    <w:p w:rsidR="00A6475D" w:rsidRDefault="00A6475D" w:rsidP="00A6475D">
      <w:pPr>
        <w:pStyle w:val="ListParagraph"/>
        <w:rPr>
          <w:lang w:eastAsia="en-GB"/>
        </w:rPr>
      </w:pPr>
      <w:r>
        <w:rPr>
          <w:lang w:eastAsia="en-GB"/>
        </w:rPr>
        <w:t>Any media concerns?</w:t>
      </w:r>
    </w:p>
    <w:p w:rsidR="00A6475D" w:rsidRDefault="00A6475D" w:rsidP="00A6475D">
      <w:pPr>
        <w:pStyle w:val="Heading3"/>
        <w:rPr>
          <w:lang w:eastAsia="en-GB"/>
        </w:rPr>
      </w:pPr>
      <w:r>
        <w:rPr>
          <w:lang w:eastAsia="en-GB"/>
        </w:rPr>
        <w:t>Changing everything into your new identity</w:t>
      </w:r>
    </w:p>
    <w:tbl>
      <w:tblPr>
        <w:tblStyle w:val="TableGrid"/>
        <w:tblW w:w="0" w:type="auto"/>
        <w:tblLook w:val="04A0" w:firstRow="1" w:lastRow="0" w:firstColumn="1" w:lastColumn="0" w:noHBand="0" w:noVBand="1"/>
      </w:tblPr>
      <w:tblGrid>
        <w:gridCol w:w="3580"/>
        <w:gridCol w:w="2469"/>
        <w:gridCol w:w="1799"/>
        <w:gridCol w:w="1780"/>
      </w:tblGrid>
      <w:tr w:rsidR="00A6475D" w:rsidTr="00675312">
        <w:tc>
          <w:tcPr>
            <w:tcW w:w="3652" w:type="dxa"/>
            <w:shd w:val="clear" w:color="auto" w:fill="D9D9D9" w:themeFill="background1" w:themeFillShade="D9"/>
          </w:tcPr>
          <w:p w:rsidR="00A6475D" w:rsidRDefault="00A6475D" w:rsidP="00A6475D">
            <w:pPr>
              <w:rPr>
                <w:lang w:val="en-US" w:eastAsia="en-GB"/>
              </w:rPr>
            </w:pPr>
          </w:p>
        </w:tc>
        <w:tc>
          <w:tcPr>
            <w:tcW w:w="2552" w:type="dxa"/>
            <w:shd w:val="clear" w:color="auto" w:fill="D9D9D9" w:themeFill="background1" w:themeFillShade="D9"/>
            <w:vAlign w:val="center"/>
          </w:tcPr>
          <w:p w:rsidR="00A6475D" w:rsidRPr="00675312" w:rsidRDefault="00A6475D" w:rsidP="00675312">
            <w:pPr>
              <w:autoSpaceDE w:val="0"/>
              <w:autoSpaceDN w:val="0"/>
              <w:adjustRightInd w:val="0"/>
              <w:snapToGrid w:val="0"/>
              <w:spacing w:line="240" w:lineRule="auto"/>
              <w:jc w:val="center"/>
              <w:rPr>
                <w:rFonts w:eastAsia="Times New Roman" w:cs="Calibri"/>
                <w:color w:val="0D0D0D"/>
                <w:lang w:val="en-US" w:eastAsia="en-GB"/>
              </w:rPr>
            </w:pPr>
            <w:r w:rsidRPr="00675312">
              <w:rPr>
                <w:rFonts w:eastAsia="Times New Roman" w:cs="Calibri"/>
                <w:color w:val="0D0D0D"/>
                <w:lang w:val="en-US" w:eastAsia="en-GB"/>
              </w:rPr>
              <w:t>Who will do this?</w:t>
            </w:r>
          </w:p>
        </w:tc>
        <w:tc>
          <w:tcPr>
            <w:tcW w:w="1842" w:type="dxa"/>
            <w:shd w:val="clear" w:color="auto" w:fill="D9D9D9" w:themeFill="background1" w:themeFillShade="D9"/>
            <w:vAlign w:val="center"/>
          </w:tcPr>
          <w:p w:rsidR="00A6475D" w:rsidRPr="00675312" w:rsidRDefault="00A6475D" w:rsidP="00675312">
            <w:pPr>
              <w:autoSpaceDE w:val="0"/>
              <w:autoSpaceDN w:val="0"/>
              <w:adjustRightInd w:val="0"/>
              <w:snapToGrid w:val="0"/>
              <w:spacing w:line="240" w:lineRule="auto"/>
              <w:jc w:val="center"/>
              <w:rPr>
                <w:rFonts w:eastAsia="Times New Roman" w:cs="Calibri"/>
                <w:color w:val="0D0D0D"/>
                <w:lang w:val="en-US" w:eastAsia="en-GB"/>
              </w:rPr>
            </w:pPr>
            <w:r w:rsidRPr="00675312">
              <w:rPr>
                <w:rFonts w:eastAsia="Times New Roman" w:cs="Calibri"/>
                <w:color w:val="0D0D0D"/>
                <w:lang w:val="en-US" w:eastAsia="en-GB"/>
              </w:rPr>
              <w:t>When?</w:t>
            </w:r>
          </w:p>
        </w:tc>
        <w:tc>
          <w:tcPr>
            <w:tcW w:w="1808" w:type="dxa"/>
            <w:shd w:val="clear" w:color="auto" w:fill="D9D9D9" w:themeFill="background1" w:themeFillShade="D9"/>
            <w:vAlign w:val="center"/>
          </w:tcPr>
          <w:p w:rsidR="00A6475D" w:rsidRPr="00675312" w:rsidRDefault="00A6475D" w:rsidP="00675312">
            <w:pPr>
              <w:autoSpaceDE w:val="0"/>
              <w:autoSpaceDN w:val="0"/>
              <w:adjustRightInd w:val="0"/>
              <w:snapToGrid w:val="0"/>
              <w:spacing w:line="240" w:lineRule="auto"/>
              <w:jc w:val="center"/>
              <w:rPr>
                <w:rFonts w:eastAsia="Times New Roman" w:cs="Calibri"/>
                <w:color w:val="0D0D0D"/>
                <w:lang w:val="en-US" w:eastAsia="en-GB"/>
              </w:rPr>
            </w:pPr>
            <w:r w:rsidRPr="00675312">
              <w:rPr>
                <w:rFonts w:eastAsia="Times New Roman" w:cs="Calibri"/>
                <w:color w:val="0D0D0D"/>
                <w:lang w:val="en-US" w:eastAsia="en-GB"/>
              </w:rPr>
              <w:t>Date completed</w:t>
            </w: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Name badge</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School Website / Name Board</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IT systems</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Voicemail</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Email / Intranet address entry</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 xml:space="preserve">Work-based social media </w:t>
            </w:r>
            <w:proofErr w:type="spellStart"/>
            <w:r w:rsidRPr="00675312">
              <w:rPr>
                <w:rFonts w:eastAsia="Times New Roman" w:cs="Calibri"/>
                <w:color w:val="0D0D0D"/>
                <w:szCs w:val="24"/>
                <w:lang w:val="en-US" w:eastAsia="en-GB"/>
              </w:rPr>
              <w:t>e.g</w:t>
            </w:r>
            <w:proofErr w:type="spellEnd"/>
            <w:r w:rsidRPr="00675312">
              <w:rPr>
                <w:rFonts w:eastAsia="Times New Roman" w:cs="Calibri"/>
                <w:color w:val="0D0D0D"/>
                <w:szCs w:val="24"/>
                <w:lang w:val="en-US" w:eastAsia="en-GB"/>
              </w:rPr>
              <w:t xml:space="preserve"> Twitter</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Union membership</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Pensions scheme</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r w:rsidR="00A6475D" w:rsidTr="00675312">
        <w:tc>
          <w:tcPr>
            <w:tcW w:w="3652" w:type="dxa"/>
            <w:shd w:val="clear" w:color="auto" w:fill="D9D9D9" w:themeFill="background1" w:themeFillShade="D9"/>
            <w:vAlign w:val="center"/>
          </w:tcPr>
          <w:p w:rsidR="00A6475D" w:rsidRPr="00675312" w:rsidRDefault="00A6475D" w:rsidP="00A6475D">
            <w:pPr>
              <w:autoSpaceDE w:val="0"/>
              <w:autoSpaceDN w:val="0"/>
              <w:adjustRightInd w:val="0"/>
              <w:snapToGrid w:val="0"/>
              <w:spacing w:line="240" w:lineRule="auto"/>
              <w:ind w:left="34"/>
              <w:rPr>
                <w:rFonts w:eastAsia="Times New Roman" w:cs="Calibri"/>
                <w:color w:val="0D0D0D"/>
                <w:szCs w:val="24"/>
                <w:lang w:val="en-US" w:eastAsia="en-GB"/>
              </w:rPr>
            </w:pPr>
            <w:r w:rsidRPr="00675312">
              <w:rPr>
                <w:rFonts w:eastAsia="Times New Roman" w:cs="Calibri"/>
                <w:color w:val="0D0D0D"/>
                <w:szCs w:val="24"/>
                <w:lang w:val="en-US" w:eastAsia="en-GB"/>
              </w:rPr>
              <w:t>Certificates/awards</w:t>
            </w:r>
          </w:p>
        </w:tc>
        <w:tc>
          <w:tcPr>
            <w:tcW w:w="2552" w:type="dxa"/>
          </w:tcPr>
          <w:p w:rsidR="00A6475D" w:rsidRDefault="00A6475D" w:rsidP="00A6475D">
            <w:pPr>
              <w:rPr>
                <w:lang w:val="en-US" w:eastAsia="en-GB"/>
              </w:rPr>
            </w:pPr>
          </w:p>
        </w:tc>
        <w:tc>
          <w:tcPr>
            <w:tcW w:w="1842" w:type="dxa"/>
          </w:tcPr>
          <w:p w:rsidR="00A6475D" w:rsidRDefault="00A6475D" w:rsidP="00A6475D">
            <w:pPr>
              <w:rPr>
                <w:lang w:val="en-US" w:eastAsia="en-GB"/>
              </w:rPr>
            </w:pPr>
          </w:p>
        </w:tc>
        <w:tc>
          <w:tcPr>
            <w:tcW w:w="1808" w:type="dxa"/>
          </w:tcPr>
          <w:p w:rsidR="00A6475D" w:rsidRDefault="00A6475D" w:rsidP="00A6475D">
            <w:pPr>
              <w:rPr>
                <w:lang w:val="en-US" w:eastAsia="en-GB"/>
              </w:rPr>
            </w:pPr>
          </w:p>
        </w:tc>
      </w:tr>
    </w:tbl>
    <w:p w:rsidR="00A6475D" w:rsidRDefault="00A6475D" w:rsidP="00A6475D">
      <w:pPr>
        <w:rPr>
          <w:lang w:val="en-US" w:eastAsia="en-GB"/>
        </w:rPr>
      </w:pPr>
    </w:p>
    <w:p w:rsidR="00675312" w:rsidRDefault="00675312" w:rsidP="00675312">
      <w:pPr>
        <w:pStyle w:val="Heading3"/>
        <w:rPr>
          <w:lang w:eastAsia="en-GB"/>
        </w:rPr>
      </w:pPr>
      <w:r>
        <w:rPr>
          <w:lang w:eastAsia="en-GB"/>
        </w:rPr>
        <w:lastRenderedPageBreak/>
        <w:t>Medical appointments and absences</w:t>
      </w:r>
    </w:p>
    <w:tbl>
      <w:tblPr>
        <w:tblStyle w:val="TableGrid"/>
        <w:tblW w:w="0" w:type="auto"/>
        <w:tblLook w:val="04A0" w:firstRow="1" w:lastRow="0" w:firstColumn="1" w:lastColumn="0" w:noHBand="0" w:noVBand="1"/>
      </w:tblPr>
      <w:tblGrid>
        <w:gridCol w:w="7441"/>
        <w:gridCol w:w="2187"/>
      </w:tblGrid>
      <w:tr w:rsidR="00675312" w:rsidTr="00675312">
        <w:tc>
          <w:tcPr>
            <w:tcW w:w="7621" w:type="dxa"/>
            <w:shd w:val="clear" w:color="auto" w:fill="D9D9D9" w:themeFill="background1" w:themeFillShade="D9"/>
          </w:tcPr>
          <w:p w:rsidR="00675312" w:rsidRPr="00675312" w:rsidRDefault="00675312" w:rsidP="00675312">
            <w:pPr>
              <w:rPr>
                <w:lang w:val="en-US" w:eastAsia="en-GB"/>
              </w:rPr>
            </w:pPr>
            <w:r w:rsidRPr="00675312">
              <w:rPr>
                <w:lang w:val="en-US" w:eastAsia="en-GB"/>
              </w:rPr>
              <w:t>Appointment</w:t>
            </w:r>
          </w:p>
        </w:tc>
        <w:tc>
          <w:tcPr>
            <w:tcW w:w="2233" w:type="dxa"/>
            <w:shd w:val="clear" w:color="auto" w:fill="D9D9D9" w:themeFill="background1" w:themeFillShade="D9"/>
          </w:tcPr>
          <w:p w:rsidR="00675312" w:rsidRPr="00675312" w:rsidRDefault="00675312" w:rsidP="00675312">
            <w:pPr>
              <w:rPr>
                <w:lang w:val="en-US" w:eastAsia="en-GB"/>
              </w:rPr>
            </w:pPr>
            <w:r w:rsidRPr="00675312">
              <w:rPr>
                <w:lang w:val="en-US" w:eastAsia="en-GB"/>
              </w:rPr>
              <w:t>Date</w:t>
            </w:r>
          </w:p>
        </w:tc>
      </w:tr>
      <w:tr w:rsidR="00675312" w:rsidTr="00675312">
        <w:tc>
          <w:tcPr>
            <w:tcW w:w="7621" w:type="dxa"/>
          </w:tcPr>
          <w:p w:rsidR="00675312" w:rsidRDefault="00675312" w:rsidP="00675312">
            <w:pPr>
              <w:rPr>
                <w:lang w:val="en-US" w:eastAsia="en-GB"/>
              </w:rPr>
            </w:pPr>
          </w:p>
        </w:tc>
        <w:tc>
          <w:tcPr>
            <w:tcW w:w="2233" w:type="dxa"/>
          </w:tcPr>
          <w:p w:rsidR="00675312" w:rsidRDefault="00675312" w:rsidP="00675312">
            <w:pPr>
              <w:rPr>
                <w:lang w:val="en-US" w:eastAsia="en-GB"/>
              </w:rPr>
            </w:pPr>
          </w:p>
        </w:tc>
      </w:tr>
      <w:tr w:rsidR="00675312" w:rsidTr="00675312">
        <w:tc>
          <w:tcPr>
            <w:tcW w:w="7621" w:type="dxa"/>
          </w:tcPr>
          <w:p w:rsidR="00675312" w:rsidRDefault="00675312" w:rsidP="00675312">
            <w:pPr>
              <w:rPr>
                <w:lang w:val="en-US" w:eastAsia="en-GB"/>
              </w:rPr>
            </w:pPr>
          </w:p>
        </w:tc>
        <w:tc>
          <w:tcPr>
            <w:tcW w:w="2233" w:type="dxa"/>
          </w:tcPr>
          <w:p w:rsidR="00675312" w:rsidRDefault="00675312" w:rsidP="00675312">
            <w:pPr>
              <w:rPr>
                <w:lang w:val="en-US" w:eastAsia="en-GB"/>
              </w:rPr>
            </w:pPr>
          </w:p>
        </w:tc>
      </w:tr>
    </w:tbl>
    <w:p w:rsidR="00675312" w:rsidRDefault="00675312" w:rsidP="00675312">
      <w:pPr>
        <w:jc w:val="right"/>
        <w:rPr>
          <w:lang w:val="en-US" w:eastAsia="en-GB"/>
        </w:rPr>
      </w:pPr>
      <w:r>
        <w:rPr>
          <w:lang w:val="en-US" w:eastAsia="en-GB"/>
        </w:rPr>
        <w:t>Add more rows as necessary</w:t>
      </w:r>
    </w:p>
    <w:p w:rsidR="00675312" w:rsidRDefault="00675312" w:rsidP="00675312">
      <w:pPr>
        <w:pStyle w:val="Heading3"/>
        <w:rPr>
          <w:lang w:eastAsia="en-GB"/>
        </w:rPr>
      </w:pPr>
      <w:r>
        <w:rPr>
          <w:lang w:eastAsia="en-GB"/>
        </w:rPr>
        <w:t>Details of meetings</w:t>
      </w:r>
    </w:p>
    <w:tbl>
      <w:tblPr>
        <w:tblStyle w:val="TableGrid"/>
        <w:tblW w:w="0" w:type="auto"/>
        <w:tblLook w:val="04A0" w:firstRow="1" w:lastRow="0" w:firstColumn="1" w:lastColumn="0" w:noHBand="0" w:noVBand="1"/>
      </w:tblPr>
      <w:tblGrid>
        <w:gridCol w:w="1631"/>
        <w:gridCol w:w="3182"/>
        <w:gridCol w:w="2766"/>
        <w:gridCol w:w="2049"/>
      </w:tblGrid>
      <w:tr w:rsidR="00675312" w:rsidTr="00675312">
        <w:trPr>
          <w:tblHeader/>
        </w:trPr>
        <w:tc>
          <w:tcPr>
            <w:tcW w:w="1668" w:type="dxa"/>
            <w:shd w:val="clear" w:color="auto" w:fill="D9D9D9" w:themeFill="background1" w:themeFillShade="D9"/>
            <w:vAlign w:val="center"/>
          </w:tcPr>
          <w:p w:rsidR="00675312" w:rsidRPr="00675312" w:rsidRDefault="00675312" w:rsidP="00675312">
            <w:pPr>
              <w:autoSpaceDE w:val="0"/>
              <w:autoSpaceDN w:val="0"/>
              <w:adjustRightInd w:val="0"/>
              <w:snapToGrid w:val="0"/>
              <w:spacing w:line="240" w:lineRule="auto"/>
              <w:ind w:left="1"/>
              <w:rPr>
                <w:rFonts w:eastAsia="SimSun" w:cs="Calibri"/>
                <w:color w:val="000000"/>
                <w:sz w:val="21"/>
                <w:szCs w:val="24"/>
                <w:lang w:val="en-US" w:eastAsia="en-GB"/>
              </w:rPr>
            </w:pPr>
            <w:r w:rsidRPr="00675312">
              <w:rPr>
                <w:rFonts w:eastAsia="SimSun" w:cs="Calibri"/>
                <w:color w:val="000000"/>
                <w:sz w:val="21"/>
                <w:szCs w:val="24"/>
                <w:lang w:val="en-US" w:eastAsia="en-GB"/>
              </w:rPr>
              <w:t>Date</w:t>
            </w:r>
          </w:p>
        </w:tc>
        <w:tc>
          <w:tcPr>
            <w:tcW w:w="3258" w:type="dxa"/>
            <w:shd w:val="clear" w:color="auto" w:fill="D9D9D9" w:themeFill="background1" w:themeFillShade="D9"/>
            <w:vAlign w:val="center"/>
          </w:tcPr>
          <w:p w:rsidR="00675312" w:rsidRPr="00675312" w:rsidRDefault="00675312" w:rsidP="00675312">
            <w:pPr>
              <w:autoSpaceDE w:val="0"/>
              <w:autoSpaceDN w:val="0"/>
              <w:adjustRightInd w:val="0"/>
              <w:snapToGrid w:val="0"/>
              <w:spacing w:line="240" w:lineRule="auto"/>
              <w:ind w:left="1"/>
              <w:rPr>
                <w:rFonts w:eastAsia="SimSun" w:cs="Calibri"/>
                <w:color w:val="000000"/>
                <w:sz w:val="21"/>
                <w:szCs w:val="24"/>
                <w:lang w:val="en-US" w:eastAsia="en-GB"/>
              </w:rPr>
            </w:pPr>
            <w:r w:rsidRPr="00675312">
              <w:rPr>
                <w:rFonts w:eastAsia="SimSun" w:cs="Calibri"/>
                <w:color w:val="000000"/>
                <w:sz w:val="21"/>
                <w:szCs w:val="24"/>
                <w:lang w:val="en-US" w:eastAsia="en-GB"/>
              </w:rPr>
              <w:t>Comments</w:t>
            </w:r>
          </w:p>
        </w:tc>
        <w:tc>
          <w:tcPr>
            <w:tcW w:w="2837" w:type="dxa"/>
            <w:shd w:val="clear" w:color="auto" w:fill="D9D9D9" w:themeFill="background1" w:themeFillShade="D9"/>
            <w:vAlign w:val="center"/>
          </w:tcPr>
          <w:p w:rsidR="00675312" w:rsidRPr="00675312" w:rsidRDefault="00675312" w:rsidP="00675312">
            <w:pPr>
              <w:autoSpaceDE w:val="0"/>
              <w:autoSpaceDN w:val="0"/>
              <w:adjustRightInd w:val="0"/>
              <w:snapToGrid w:val="0"/>
              <w:spacing w:line="240" w:lineRule="auto"/>
              <w:ind w:left="1"/>
              <w:rPr>
                <w:rFonts w:eastAsia="SimSun" w:cs="Calibri"/>
                <w:color w:val="000000"/>
                <w:sz w:val="21"/>
                <w:szCs w:val="24"/>
                <w:lang w:val="en-US" w:eastAsia="en-GB"/>
              </w:rPr>
            </w:pPr>
            <w:r w:rsidRPr="00675312">
              <w:rPr>
                <w:rFonts w:eastAsia="SimSun" w:cs="Calibri"/>
                <w:color w:val="000000"/>
                <w:sz w:val="21"/>
                <w:szCs w:val="24"/>
                <w:lang w:val="en-US" w:eastAsia="en-GB"/>
              </w:rPr>
              <w:t>Actions</w:t>
            </w:r>
          </w:p>
        </w:tc>
        <w:tc>
          <w:tcPr>
            <w:tcW w:w="2091" w:type="dxa"/>
            <w:shd w:val="clear" w:color="auto" w:fill="D9D9D9" w:themeFill="background1" w:themeFillShade="D9"/>
            <w:vAlign w:val="center"/>
          </w:tcPr>
          <w:p w:rsidR="00675312" w:rsidRPr="00675312" w:rsidRDefault="00675312" w:rsidP="00675312">
            <w:pPr>
              <w:autoSpaceDE w:val="0"/>
              <w:autoSpaceDN w:val="0"/>
              <w:adjustRightInd w:val="0"/>
              <w:snapToGrid w:val="0"/>
              <w:spacing w:line="240" w:lineRule="auto"/>
              <w:ind w:left="1"/>
              <w:rPr>
                <w:rFonts w:eastAsia="SimSun" w:cs="Calibri"/>
                <w:color w:val="000000"/>
                <w:sz w:val="21"/>
                <w:szCs w:val="24"/>
                <w:lang w:val="en-US" w:eastAsia="en-GB"/>
              </w:rPr>
            </w:pPr>
            <w:r w:rsidRPr="00675312">
              <w:rPr>
                <w:rFonts w:eastAsia="SimSun" w:cs="Calibri"/>
                <w:color w:val="000000"/>
                <w:sz w:val="21"/>
                <w:szCs w:val="24"/>
                <w:lang w:val="en-US" w:eastAsia="en-GB"/>
              </w:rPr>
              <w:t>Date of next meeting</w:t>
            </w: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r w:rsidR="00675312" w:rsidTr="00675312">
        <w:trPr>
          <w:trHeight w:val="850"/>
        </w:trPr>
        <w:tc>
          <w:tcPr>
            <w:tcW w:w="1668" w:type="dxa"/>
          </w:tcPr>
          <w:p w:rsidR="00675312" w:rsidRDefault="00675312" w:rsidP="00675312">
            <w:pPr>
              <w:rPr>
                <w:lang w:val="en-US" w:eastAsia="en-GB"/>
              </w:rPr>
            </w:pPr>
          </w:p>
        </w:tc>
        <w:tc>
          <w:tcPr>
            <w:tcW w:w="3258" w:type="dxa"/>
          </w:tcPr>
          <w:p w:rsidR="00675312" w:rsidRDefault="00675312" w:rsidP="00675312">
            <w:pPr>
              <w:rPr>
                <w:lang w:val="en-US" w:eastAsia="en-GB"/>
              </w:rPr>
            </w:pPr>
          </w:p>
        </w:tc>
        <w:tc>
          <w:tcPr>
            <w:tcW w:w="2837" w:type="dxa"/>
          </w:tcPr>
          <w:p w:rsidR="00675312" w:rsidRDefault="00675312" w:rsidP="00675312">
            <w:pPr>
              <w:rPr>
                <w:lang w:val="en-US" w:eastAsia="en-GB"/>
              </w:rPr>
            </w:pPr>
          </w:p>
        </w:tc>
        <w:tc>
          <w:tcPr>
            <w:tcW w:w="2091" w:type="dxa"/>
          </w:tcPr>
          <w:p w:rsidR="00675312" w:rsidRDefault="00675312" w:rsidP="00675312">
            <w:pPr>
              <w:rPr>
                <w:lang w:val="en-US" w:eastAsia="en-GB"/>
              </w:rPr>
            </w:pPr>
          </w:p>
        </w:tc>
      </w:tr>
    </w:tbl>
    <w:p w:rsidR="00675312" w:rsidRPr="00675312" w:rsidRDefault="00675312" w:rsidP="00675312">
      <w:pPr>
        <w:rPr>
          <w:lang w:val="en-US" w:eastAsia="en-GB"/>
        </w:rPr>
      </w:pPr>
    </w:p>
    <w:sectPr w:rsidR="00675312" w:rsidRPr="00675312" w:rsidSect="00EF6281">
      <w:footerReference w:type="default" r:id="rId13"/>
      <w:headerReference w:type="first" r:id="rId1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380" w:rsidRDefault="006A1380" w:rsidP="006C187C">
      <w:pPr>
        <w:spacing w:after="0" w:line="240" w:lineRule="auto"/>
      </w:pPr>
      <w:r>
        <w:separator/>
      </w:r>
    </w:p>
  </w:endnote>
  <w:endnote w:type="continuationSeparator" w:id="0">
    <w:p w:rsidR="006A1380" w:rsidRDefault="006A1380" w:rsidP="006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kra Md">
    <w:altName w:val="Arial"/>
    <w:panose1 w:val="00000000000000000000"/>
    <w:charset w:val="00"/>
    <w:family w:val="swiss"/>
    <w:notTrueType/>
    <w:pitch w:val="variable"/>
    <w:sig w:usb0="00000001" w:usb1="4000004B"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050842"/>
      <w:docPartObj>
        <w:docPartGallery w:val="Page Numbers (Bottom of Page)"/>
        <w:docPartUnique/>
      </w:docPartObj>
    </w:sdtPr>
    <w:sdtEndPr>
      <w:rPr>
        <w:noProof/>
      </w:rPr>
    </w:sdtEndPr>
    <w:sdtContent>
      <w:p w:rsidR="00587277" w:rsidRDefault="00587277" w:rsidP="00587277">
        <w:pPr>
          <w:pStyle w:val="Footer"/>
          <w:jc w:val="center"/>
        </w:pPr>
        <w:r>
          <w:fldChar w:fldCharType="begin"/>
        </w:r>
        <w:r>
          <w:instrText xml:space="preserve"> PAGE   \* MERGEFORMAT </w:instrText>
        </w:r>
        <w:r>
          <w:fldChar w:fldCharType="separate"/>
        </w:r>
        <w:r w:rsidR="006A1CC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380" w:rsidRDefault="006A1380" w:rsidP="006C187C">
      <w:pPr>
        <w:spacing w:after="0" w:line="240" w:lineRule="auto"/>
      </w:pPr>
      <w:r>
        <w:separator/>
      </w:r>
    </w:p>
  </w:footnote>
  <w:footnote w:type="continuationSeparator" w:id="0">
    <w:p w:rsidR="006A1380" w:rsidRDefault="006A1380" w:rsidP="006C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349" w:type="dxa"/>
      <w:tblBorders>
        <w:top w:val="single" w:sz="4" w:space="0" w:color="C00000"/>
        <w:bottom w:val="single" w:sz="4" w:space="0" w:color="C00000"/>
      </w:tblBorders>
      <w:tblLayout w:type="fixed"/>
      <w:tblLook w:val="04A0" w:firstRow="1" w:lastRow="0" w:firstColumn="1" w:lastColumn="0" w:noHBand="0" w:noVBand="1"/>
    </w:tblPr>
    <w:tblGrid>
      <w:gridCol w:w="804"/>
      <w:gridCol w:w="615"/>
      <w:gridCol w:w="189"/>
      <w:gridCol w:w="20"/>
      <w:gridCol w:w="1634"/>
      <w:gridCol w:w="5245"/>
      <w:gridCol w:w="1843"/>
    </w:tblGrid>
    <w:tr w:rsidR="00371BCA" w:rsidTr="00E045AE">
      <w:trPr>
        <w:trHeight w:val="57"/>
      </w:trPr>
      <w:tc>
        <w:tcPr>
          <w:tcW w:w="1418" w:type="dxa"/>
          <w:gridSpan w:val="2"/>
          <w:vMerge w:val="restart"/>
          <w:tcBorders>
            <w:top w:val="nil"/>
            <w:left w:val="nil"/>
            <w:bottom w:val="nil"/>
            <w:right w:val="nil"/>
          </w:tcBorders>
          <w:tcMar>
            <w:top w:w="0" w:type="dxa"/>
            <w:left w:w="0" w:type="dxa"/>
            <w:bottom w:w="0" w:type="dxa"/>
            <w:right w:w="0" w:type="dxa"/>
          </w:tcMar>
          <w:hideMark/>
        </w:tcPr>
        <w:p w:rsidR="00371BCA" w:rsidRDefault="00ED57E1">
          <w:pPr>
            <w:pStyle w:val="Header"/>
            <w:rPr>
              <w:noProof/>
              <w:sz w:val="2"/>
              <w:szCs w:val="2"/>
              <w:lang w:eastAsia="en-GB"/>
            </w:rPr>
          </w:pPr>
          <w:r>
            <w:rPr>
              <w:noProof/>
            </w:rPr>
            <w:drawing>
              <wp:anchor distT="0" distB="0" distL="114300" distR="114300" simplePos="0" relativeHeight="251661312" behindDoc="1" locked="0" layoutInCell="1" allowOverlap="1" wp14:anchorId="658A636E">
                <wp:simplePos x="0" y="0"/>
                <wp:positionH relativeFrom="column">
                  <wp:posOffset>0</wp:posOffset>
                </wp:positionH>
                <wp:positionV relativeFrom="paragraph">
                  <wp:posOffset>129540</wp:posOffset>
                </wp:positionV>
                <wp:extent cx="901065" cy="901065"/>
                <wp:effectExtent l="0" t="0" r="0" b="0"/>
                <wp:wrapTight wrapText="bothSides">
                  <wp:wrapPolygon edited="0">
                    <wp:start x="0" y="0"/>
                    <wp:lineTo x="0" y="21006"/>
                    <wp:lineTo x="21006" y="21006"/>
                    <wp:lineTo x="2100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065" cy="901065"/>
                        </a:xfrm>
                        <a:prstGeom prst="rect">
                          <a:avLst/>
                        </a:prstGeom>
                        <a:ln>
                          <a:noFill/>
                        </a:ln>
                      </pic:spPr>
                    </pic:pic>
                  </a:graphicData>
                </a:graphic>
                <wp14:sizeRelH relativeFrom="page">
                  <wp14:pctWidth>0</wp14:pctWidth>
                </wp14:sizeRelH>
                <wp14:sizeRelV relativeFrom="page">
                  <wp14:pctHeight>0</wp14:pctHeight>
                </wp14:sizeRelV>
              </wp:anchor>
            </w:drawing>
          </w:r>
        </w:p>
      </w:tc>
      <w:tc>
        <w:tcPr>
          <w:tcW w:w="1843" w:type="dxa"/>
          <w:gridSpan w:val="3"/>
          <w:tcBorders>
            <w:top w:val="nil"/>
            <w:left w:val="nil"/>
            <w:bottom w:val="single" w:sz="4" w:space="0" w:color="FF0000"/>
            <w:right w:val="nil"/>
          </w:tcBorders>
          <w:tcMar>
            <w:top w:w="0" w:type="dxa"/>
            <w:left w:w="108" w:type="dxa"/>
            <w:bottom w:w="0" w:type="dxa"/>
            <w:right w:w="0" w:type="dxa"/>
          </w:tcMar>
        </w:tcPr>
        <w:p w:rsidR="00371BCA" w:rsidRDefault="00371BCA">
          <w:pPr>
            <w:pStyle w:val="Header"/>
            <w:rPr>
              <w:rFonts w:ascii="Arial Rounded MT Bold" w:eastAsia="Arial Unicode MS" w:hAnsi="Arial Rounded MT Bold" w:cs="Arial Unicode MS"/>
              <w:b/>
              <w:color w:val="DA0000"/>
              <w:sz w:val="12"/>
              <w:szCs w:val="12"/>
            </w:rPr>
          </w:pPr>
        </w:p>
      </w:tc>
      <w:tc>
        <w:tcPr>
          <w:tcW w:w="5244" w:type="dxa"/>
          <w:tcBorders>
            <w:top w:val="nil"/>
            <w:left w:val="nil"/>
            <w:bottom w:val="single" w:sz="4" w:space="0" w:color="FF0000"/>
            <w:right w:val="nil"/>
          </w:tcBorders>
          <w:vAlign w:val="center"/>
          <w:hideMark/>
        </w:tcPr>
        <w:p w:rsidR="00371BCA" w:rsidRDefault="00371BCA">
          <w:pPr>
            <w:pStyle w:val="Header"/>
            <w:jc w:val="center"/>
            <w:rPr>
              <w:rFonts w:ascii="Arial Rounded MT Bold" w:eastAsia="Arial Unicode MS" w:hAnsi="Arial Rounded MT Bold" w:cs="Arial Unicode MS"/>
              <w:b/>
              <w:color w:val="DA0000"/>
              <w:sz w:val="12"/>
              <w:szCs w:val="12"/>
            </w:rPr>
          </w:pPr>
        </w:p>
      </w:tc>
      <w:tc>
        <w:tcPr>
          <w:tcW w:w="1843" w:type="dxa"/>
          <w:tcBorders>
            <w:top w:val="nil"/>
            <w:left w:val="nil"/>
            <w:bottom w:val="single" w:sz="4" w:space="0" w:color="FF0000"/>
            <w:right w:val="nil"/>
          </w:tcBorders>
        </w:tcPr>
        <w:p w:rsidR="00371BCA" w:rsidRDefault="00371BCA">
          <w:pPr>
            <w:pStyle w:val="Header"/>
            <w:rPr>
              <w:rFonts w:ascii="Arial Rounded MT Bold" w:eastAsia="Arial Unicode MS" w:hAnsi="Arial Rounded MT Bold" w:cs="Arial Unicode MS"/>
              <w:b/>
              <w:color w:val="DA0000"/>
              <w:sz w:val="2"/>
              <w:szCs w:val="2"/>
            </w:rPr>
          </w:pPr>
        </w:p>
      </w:tc>
    </w:tr>
    <w:tr w:rsidR="00371BCA" w:rsidTr="00E045AE">
      <w:trPr>
        <w:trHeight w:val="57"/>
      </w:trPr>
      <w:tc>
        <w:tcPr>
          <w:tcW w:w="2222" w:type="dxa"/>
          <w:gridSpan w:val="2"/>
          <w:vMerge/>
          <w:tcBorders>
            <w:top w:val="nil"/>
            <w:left w:val="nil"/>
            <w:bottom w:val="nil"/>
            <w:right w:val="nil"/>
          </w:tcBorders>
          <w:vAlign w:val="center"/>
          <w:hideMark/>
        </w:tcPr>
        <w:p w:rsidR="00371BCA" w:rsidRDefault="00371BCA">
          <w:pPr>
            <w:spacing w:after="0" w:line="240" w:lineRule="auto"/>
            <w:jc w:val="left"/>
            <w:rPr>
              <w:noProof/>
              <w:sz w:val="2"/>
              <w:szCs w:val="2"/>
              <w:lang w:eastAsia="en-GB"/>
            </w:rPr>
          </w:pPr>
        </w:p>
      </w:tc>
      <w:tc>
        <w:tcPr>
          <w:tcW w:w="1843" w:type="dxa"/>
          <w:gridSpan w:val="3"/>
          <w:tcBorders>
            <w:top w:val="single" w:sz="4" w:space="0" w:color="FF0000"/>
            <w:left w:val="nil"/>
            <w:bottom w:val="nil"/>
            <w:right w:val="nil"/>
          </w:tcBorders>
          <w:tcMar>
            <w:top w:w="0" w:type="dxa"/>
            <w:left w:w="108" w:type="dxa"/>
            <w:bottom w:w="0" w:type="dxa"/>
            <w:right w:w="0" w:type="dxa"/>
          </w:tcMar>
        </w:tcPr>
        <w:p w:rsidR="00371BCA" w:rsidRDefault="00371BCA">
          <w:pPr>
            <w:pStyle w:val="Header"/>
            <w:rPr>
              <w:rFonts w:ascii="Arial Rounded MT Bold" w:eastAsia="Arial Unicode MS" w:hAnsi="Arial Rounded MT Bold" w:cs="Arial Unicode MS"/>
              <w:b/>
              <w:color w:val="DA0000"/>
              <w:sz w:val="2"/>
              <w:szCs w:val="2"/>
            </w:rPr>
          </w:pPr>
        </w:p>
      </w:tc>
      <w:tc>
        <w:tcPr>
          <w:tcW w:w="5244" w:type="dxa"/>
          <w:tcBorders>
            <w:top w:val="single" w:sz="4" w:space="0" w:color="FF0000"/>
            <w:left w:val="nil"/>
            <w:bottom w:val="nil"/>
            <w:right w:val="nil"/>
          </w:tcBorders>
          <w:vAlign w:val="center"/>
          <w:hideMark/>
        </w:tcPr>
        <w:p w:rsidR="00371BCA" w:rsidRDefault="00371BCA">
          <w:pPr>
            <w:spacing w:after="0" w:line="240" w:lineRule="auto"/>
            <w:jc w:val="left"/>
            <w:rPr>
              <w:rFonts w:ascii="Arial Rounded MT Bold" w:eastAsia="Arial Unicode MS" w:hAnsi="Arial Rounded MT Bold" w:cs="Arial Unicode MS"/>
              <w:b/>
              <w:color w:val="DA0000"/>
              <w:sz w:val="12"/>
              <w:szCs w:val="12"/>
            </w:rPr>
          </w:pPr>
        </w:p>
      </w:tc>
      <w:tc>
        <w:tcPr>
          <w:tcW w:w="1843" w:type="dxa"/>
          <w:tcBorders>
            <w:top w:val="single" w:sz="4" w:space="0" w:color="FF0000"/>
            <w:left w:val="nil"/>
            <w:bottom w:val="nil"/>
            <w:right w:val="nil"/>
          </w:tcBorders>
        </w:tcPr>
        <w:p w:rsidR="00371BCA" w:rsidRDefault="00371BCA">
          <w:pPr>
            <w:pStyle w:val="Header"/>
            <w:rPr>
              <w:rFonts w:ascii="Arial Rounded MT Bold" w:eastAsia="Arial Unicode MS" w:hAnsi="Arial Rounded MT Bold" w:cs="Arial Unicode MS"/>
              <w:b/>
              <w:color w:val="DA0000"/>
              <w:sz w:val="2"/>
              <w:szCs w:val="2"/>
            </w:rPr>
          </w:pPr>
        </w:p>
      </w:tc>
    </w:tr>
    <w:tr w:rsidR="00371BCA" w:rsidTr="00371BCA">
      <w:trPr>
        <w:trHeight w:val="1247"/>
      </w:trPr>
      <w:tc>
        <w:tcPr>
          <w:tcW w:w="2222" w:type="dxa"/>
          <w:gridSpan w:val="2"/>
          <w:vMerge/>
          <w:tcBorders>
            <w:top w:val="nil"/>
            <w:left w:val="nil"/>
            <w:bottom w:val="nil"/>
            <w:right w:val="nil"/>
          </w:tcBorders>
          <w:vAlign w:val="center"/>
          <w:hideMark/>
        </w:tcPr>
        <w:p w:rsidR="00371BCA" w:rsidRDefault="00371BCA">
          <w:pPr>
            <w:spacing w:after="0" w:line="240" w:lineRule="auto"/>
            <w:jc w:val="left"/>
            <w:rPr>
              <w:noProof/>
              <w:sz w:val="2"/>
              <w:szCs w:val="2"/>
              <w:lang w:eastAsia="en-GB"/>
            </w:rPr>
          </w:pPr>
        </w:p>
      </w:tc>
      <w:tc>
        <w:tcPr>
          <w:tcW w:w="8930" w:type="dxa"/>
          <w:gridSpan w:val="5"/>
          <w:tcBorders>
            <w:top w:val="nil"/>
            <w:left w:val="nil"/>
            <w:bottom w:val="nil"/>
            <w:right w:val="nil"/>
          </w:tcBorders>
          <w:vAlign w:val="center"/>
          <w:hideMark/>
        </w:tcPr>
        <w:p w:rsidR="00371BCA" w:rsidRDefault="00ED57E1">
          <w:pPr>
            <w:pStyle w:val="Header"/>
            <w:jc w:val="center"/>
            <w:rPr>
              <w:color w:val="FF0000"/>
              <w:sz w:val="8"/>
              <w:szCs w:val="8"/>
            </w:rPr>
          </w:pPr>
          <w:proofErr w:type="spellStart"/>
          <w:r>
            <w:rPr>
              <w:rFonts w:ascii="Iskra Md" w:hAnsi="Iskra Md" w:cs="Aharoni"/>
              <w:b/>
              <w:color w:val="FF0000"/>
              <w:sz w:val="52"/>
              <w:szCs w:val="52"/>
            </w:rPr>
            <w:t>Glenmere</w:t>
          </w:r>
          <w:proofErr w:type="spellEnd"/>
          <w:r>
            <w:rPr>
              <w:rFonts w:ascii="Iskra Md" w:hAnsi="Iskra Md" w:cs="Aharoni"/>
              <w:b/>
              <w:color w:val="FF0000"/>
              <w:sz w:val="52"/>
              <w:szCs w:val="52"/>
            </w:rPr>
            <w:t xml:space="preserve"> Primary School</w:t>
          </w:r>
        </w:p>
      </w:tc>
    </w:tr>
    <w:tr w:rsidR="00371BCA" w:rsidTr="00371BCA">
      <w:trPr>
        <w:trHeight w:val="20"/>
      </w:trPr>
      <w:tc>
        <w:tcPr>
          <w:tcW w:w="803" w:type="dxa"/>
          <w:tcBorders>
            <w:top w:val="nil"/>
            <w:left w:val="nil"/>
            <w:bottom w:val="nil"/>
            <w:right w:val="nil"/>
          </w:tcBorders>
          <w:tcMar>
            <w:top w:w="0" w:type="dxa"/>
            <w:left w:w="0" w:type="dxa"/>
            <w:bottom w:w="0" w:type="dxa"/>
            <w:right w:w="0" w:type="dxa"/>
          </w:tcMar>
          <w:vAlign w:val="center"/>
        </w:tcPr>
        <w:p w:rsidR="00371BCA" w:rsidRDefault="00371BCA">
          <w:pPr>
            <w:pStyle w:val="Header"/>
            <w:rPr>
              <w:sz w:val="2"/>
              <w:szCs w:val="2"/>
            </w:rPr>
          </w:pPr>
        </w:p>
      </w:tc>
      <w:tc>
        <w:tcPr>
          <w:tcW w:w="804" w:type="dxa"/>
          <w:gridSpan w:val="2"/>
          <w:tcBorders>
            <w:top w:val="nil"/>
            <w:left w:val="nil"/>
            <w:bottom w:val="single" w:sz="4" w:space="0" w:color="FF0000"/>
            <w:right w:val="nil"/>
          </w:tcBorders>
          <w:vAlign w:val="center"/>
        </w:tcPr>
        <w:p w:rsidR="00371BCA" w:rsidRDefault="00371BCA">
          <w:pPr>
            <w:pStyle w:val="Header"/>
            <w:rPr>
              <w:sz w:val="2"/>
              <w:szCs w:val="2"/>
            </w:rPr>
          </w:pPr>
        </w:p>
      </w:tc>
      <w:tc>
        <w:tcPr>
          <w:tcW w:w="20" w:type="dxa"/>
          <w:tcBorders>
            <w:top w:val="nil"/>
            <w:left w:val="nil"/>
            <w:bottom w:val="single" w:sz="4" w:space="0" w:color="FF0000"/>
            <w:right w:val="nil"/>
          </w:tcBorders>
          <w:noWrap/>
          <w:tcMar>
            <w:top w:w="0" w:type="dxa"/>
            <w:left w:w="0" w:type="dxa"/>
            <w:bottom w:w="0" w:type="dxa"/>
            <w:right w:w="0" w:type="dxa"/>
          </w:tcMar>
          <w:vAlign w:val="center"/>
        </w:tcPr>
        <w:p w:rsidR="00371BCA" w:rsidRDefault="00371BCA">
          <w:pPr>
            <w:pStyle w:val="Header"/>
            <w:jc w:val="center"/>
            <w:rPr>
              <w:sz w:val="2"/>
              <w:szCs w:val="2"/>
            </w:rPr>
          </w:pPr>
        </w:p>
      </w:tc>
      <w:tc>
        <w:tcPr>
          <w:tcW w:w="8721" w:type="dxa"/>
          <w:gridSpan w:val="3"/>
          <w:tcBorders>
            <w:top w:val="nil"/>
            <w:left w:val="nil"/>
            <w:bottom w:val="single" w:sz="4" w:space="0" w:color="FF0000"/>
            <w:right w:val="nil"/>
          </w:tcBorders>
          <w:tcMar>
            <w:top w:w="0" w:type="dxa"/>
            <w:left w:w="108" w:type="dxa"/>
            <w:bottom w:w="0" w:type="dxa"/>
            <w:right w:w="0" w:type="dxa"/>
          </w:tcMar>
          <w:vAlign w:val="center"/>
        </w:tcPr>
        <w:p w:rsidR="00371BCA" w:rsidRDefault="00371BCA">
          <w:pPr>
            <w:pStyle w:val="Header"/>
            <w:jc w:val="center"/>
            <w:rPr>
              <w:rFonts w:cstheme="minorHAnsi"/>
              <w:color w:val="C00000"/>
              <w:sz w:val="2"/>
              <w:szCs w:val="2"/>
            </w:rPr>
          </w:pPr>
        </w:p>
      </w:tc>
    </w:tr>
  </w:tbl>
  <w:p w:rsidR="00371BCA" w:rsidRDefault="00371BCA" w:rsidP="00371BCA">
    <w:pPr>
      <w:pStyle w:val="Header"/>
      <w:rPr>
        <w:rFonts w:cs="Times New Roman"/>
        <w:sz w:val="20"/>
        <w:szCs w:val="20"/>
        <w:lang w:eastAsia="x-none"/>
      </w:rPr>
    </w:pPr>
  </w:p>
  <w:p w:rsidR="006C187C" w:rsidRPr="00371BCA" w:rsidRDefault="006C187C" w:rsidP="00371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67.4pt;height:389.4pt" o:bullet="t">
        <v:imagedata r:id="rId1" o:title="HR Policy Logo"/>
      </v:shape>
    </w:pict>
  </w:numPicBullet>
  <w:numPicBullet w:numPicBulletId="1">
    <w:pict>
      <v:shape id="_x0000_i1046" type="#_x0000_t75" style="width:240.6pt;height:4in" o:bullet="t">
        <v:imagedata r:id="rId2" o:title="OWLS Logo"/>
      </v:shape>
    </w:pict>
  </w:numPicBullet>
  <w:numPicBullet w:numPicBulletId="2">
    <w:pict>
      <v:shape id="_x0000_i1047" type="#_x0000_t75" style="width:124.2pt;height:145.2pt" o:bullet="t">
        <v:imagedata r:id="rId3" o:title="OWLS Logo 2017"/>
      </v:shape>
    </w:pict>
  </w:numPicBullet>
  <w:abstractNum w:abstractNumId="0" w15:restartNumberingAfterBreak="0">
    <w:nsid w:val="136E0DEF"/>
    <w:multiLevelType w:val="hybridMultilevel"/>
    <w:tmpl w:val="A17E1006"/>
    <w:lvl w:ilvl="0" w:tplc="FAC4C146">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E7669"/>
    <w:multiLevelType w:val="multilevel"/>
    <w:tmpl w:val="C0366F26"/>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8B5B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50549F"/>
    <w:multiLevelType w:val="hybridMultilevel"/>
    <w:tmpl w:val="214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32023"/>
    <w:multiLevelType w:val="multilevel"/>
    <w:tmpl w:val="E0D857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4430EB"/>
    <w:multiLevelType w:val="hybridMultilevel"/>
    <w:tmpl w:val="CE5A0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BF76A3"/>
    <w:multiLevelType w:val="hybridMultilevel"/>
    <w:tmpl w:val="7D686F1C"/>
    <w:lvl w:ilvl="0" w:tplc="0F662248">
      <w:start w:val="1"/>
      <w:numFmt w:val="bullet"/>
      <w:pStyle w:val="Heading2"/>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BA4855"/>
    <w:multiLevelType w:val="hybridMultilevel"/>
    <w:tmpl w:val="4A04F78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7C"/>
    <w:rsid w:val="00041013"/>
    <w:rsid w:val="001119A1"/>
    <w:rsid w:val="001849A4"/>
    <w:rsid w:val="001D32BE"/>
    <w:rsid w:val="002102A1"/>
    <w:rsid w:val="002F493F"/>
    <w:rsid w:val="00340481"/>
    <w:rsid w:val="00371BCA"/>
    <w:rsid w:val="003C0B7F"/>
    <w:rsid w:val="003F20B4"/>
    <w:rsid w:val="00471842"/>
    <w:rsid w:val="00471D94"/>
    <w:rsid w:val="00513681"/>
    <w:rsid w:val="00587277"/>
    <w:rsid w:val="005D37A6"/>
    <w:rsid w:val="00647F64"/>
    <w:rsid w:val="00675312"/>
    <w:rsid w:val="006A1380"/>
    <w:rsid w:val="006A1CCD"/>
    <w:rsid w:val="006C187C"/>
    <w:rsid w:val="006D414C"/>
    <w:rsid w:val="007722B0"/>
    <w:rsid w:val="007F0514"/>
    <w:rsid w:val="008F3E28"/>
    <w:rsid w:val="00916410"/>
    <w:rsid w:val="00943F41"/>
    <w:rsid w:val="009C62B9"/>
    <w:rsid w:val="00A04A83"/>
    <w:rsid w:val="00A27465"/>
    <w:rsid w:val="00A40DB0"/>
    <w:rsid w:val="00A6475D"/>
    <w:rsid w:val="00A739DC"/>
    <w:rsid w:val="00A858BE"/>
    <w:rsid w:val="00AB640E"/>
    <w:rsid w:val="00B03456"/>
    <w:rsid w:val="00B51BBA"/>
    <w:rsid w:val="00B66338"/>
    <w:rsid w:val="00BD0701"/>
    <w:rsid w:val="00C1085E"/>
    <w:rsid w:val="00C23686"/>
    <w:rsid w:val="00C41085"/>
    <w:rsid w:val="00D47B6E"/>
    <w:rsid w:val="00E045AE"/>
    <w:rsid w:val="00E44746"/>
    <w:rsid w:val="00ED57E1"/>
    <w:rsid w:val="00EF6281"/>
    <w:rsid w:val="00EF7C28"/>
    <w:rsid w:val="00F20E78"/>
    <w:rsid w:val="00FB013B"/>
    <w:rsid w:val="00FD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BDCC4"/>
  <w15:docId w15:val="{714996D9-0A96-4BC8-8DF4-8F59FDE1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93F"/>
    <w:pPr>
      <w:spacing w:line="264" w:lineRule="auto"/>
      <w:jc w:val="both"/>
    </w:pPr>
    <w:rPr>
      <w:rFonts w:ascii="Calibri" w:hAnsi="Calibri"/>
    </w:rPr>
  </w:style>
  <w:style w:type="paragraph" w:styleId="Heading1">
    <w:name w:val="heading 1"/>
    <w:basedOn w:val="Normal"/>
    <w:next w:val="Normal"/>
    <w:link w:val="Heading1Char"/>
    <w:uiPriority w:val="9"/>
    <w:qFormat/>
    <w:rsid w:val="005D37A6"/>
    <w:pPr>
      <w:keepNext/>
      <w:pBdr>
        <w:top w:val="single" w:sz="12" w:space="1" w:color="C00000"/>
        <w:bottom w:val="single" w:sz="12" w:space="1" w:color="C00000"/>
      </w:pBdr>
      <w:spacing w:after="360"/>
      <w:jc w:val="center"/>
      <w:outlineLvl w:val="0"/>
    </w:pPr>
    <w:rPr>
      <w:rFonts w:eastAsiaTheme="majorEastAsia" w:cstheme="majorBidi"/>
      <w:b/>
      <w:bCs/>
      <w:smallCaps/>
      <w:sz w:val="28"/>
      <w:szCs w:val="28"/>
    </w:rPr>
  </w:style>
  <w:style w:type="paragraph" w:styleId="Heading2">
    <w:name w:val="heading 2"/>
    <w:basedOn w:val="Normal"/>
    <w:next w:val="Normal"/>
    <w:link w:val="Heading2Char"/>
    <w:uiPriority w:val="9"/>
    <w:unhideWhenUsed/>
    <w:qFormat/>
    <w:rsid w:val="007F0514"/>
    <w:pPr>
      <w:numPr>
        <w:numId w:val="5"/>
      </w:numPr>
      <w:pBdr>
        <w:bottom w:val="single" w:sz="18" w:space="1" w:color="A6A6A6" w:themeColor="background1" w:themeShade="A6"/>
      </w:pBdr>
      <w:spacing w:before="360"/>
      <w:ind w:left="357" w:hanging="357"/>
      <w:outlineLvl w:val="1"/>
    </w:pPr>
    <w:rPr>
      <w:rFonts w:cs="Calibri"/>
      <w:b/>
      <w:noProof/>
      <w:sz w:val="28"/>
      <w:szCs w:val="28"/>
      <w:lang w:eastAsia="en-GB"/>
    </w:rPr>
  </w:style>
  <w:style w:type="paragraph" w:styleId="Heading3">
    <w:name w:val="heading 3"/>
    <w:basedOn w:val="Normal"/>
    <w:next w:val="Normal"/>
    <w:link w:val="Heading3Char"/>
    <w:uiPriority w:val="9"/>
    <w:unhideWhenUsed/>
    <w:qFormat/>
    <w:rsid w:val="00647F64"/>
    <w:pPr>
      <w:spacing w:before="240" w:after="120"/>
      <w:outlineLvl w:val="2"/>
    </w:pPr>
    <w:rPr>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37A6"/>
    <w:rPr>
      <w:rFonts w:ascii="Calibri" w:eastAsiaTheme="majorEastAsia" w:hAnsi="Calibri" w:cstheme="majorBidi"/>
      <w:b/>
      <w:bCs/>
      <w:smallCaps/>
      <w:sz w:val="28"/>
      <w:szCs w:val="28"/>
    </w:rPr>
  </w:style>
  <w:style w:type="character" w:customStyle="1" w:styleId="Heading2Char">
    <w:name w:val="Heading 2 Char"/>
    <w:basedOn w:val="DefaultParagraphFont"/>
    <w:link w:val="Heading2"/>
    <w:uiPriority w:val="9"/>
    <w:rsid w:val="007F0514"/>
    <w:rPr>
      <w:rFonts w:ascii="Calibri" w:hAnsi="Calibri" w:cs="Calibri"/>
      <w:b/>
      <w:noProof/>
      <w:sz w:val="28"/>
      <w:szCs w:val="28"/>
      <w:lang w:eastAsia="en-GB"/>
    </w:rPr>
  </w:style>
  <w:style w:type="paragraph" w:styleId="Header">
    <w:name w:val="header"/>
    <w:basedOn w:val="Normal"/>
    <w:link w:val="HeaderChar"/>
    <w:uiPriority w:val="99"/>
    <w:unhideWhenUsed/>
    <w:rsid w:val="006C187C"/>
    <w:pPr>
      <w:tabs>
        <w:tab w:val="center" w:pos="4513"/>
        <w:tab w:val="right" w:pos="9026"/>
      </w:tabs>
      <w:spacing w:after="0"/>
    </w:pPr>
  </w:style>
  <w:style w:type="character" w:customStyle="1" w:styleId="HeaderChar">
    <w:name w:val="Header Char"/>
    <w:basedOn w:val="DefaultParagraphFont"/>
    <w:link w:val="Header"/>
    <w:uiPriority w:val="99"/>
    <w:rsid w:val="006C187C"/>
    <w:rPr>
      <w:rFonts w:ascii="Calibri" w:hAnsi="Calibri"/>
    </w:rPr>
  </w:style>
  <w:style w:type="paragraph" w:styleId="Footer">
    <w:name w:val="footer"/>
    <w:basedOn w:val="Normal"/>
    <w:link w:val="FooterChar"/>
    <w:uiPriority w:val="99"/>
    <w:unhideWhenUsed/>
    <w:rsid w:val="006C187C"/>
    <w:pPr>
      <w:tabs>
        <w:tab w:val="center" w:pos="4513"/>
        <w:tab w:val="right" w:pos="9026"/>
      </w:tabs>
      <w:spacing w:after="0"/>
    </w:pPr>
  </w:style>
  <w:style w:type="character" w:customStyle="1" w:styleId="FooterChar">
    <w:name w:val="Footer Char"/>
    <w:basedOn w:val="DefaultParagraphFont"/>
    <w:link w:val="Footer"/>
    <w:uiPriority w:val="99"/>
    <w:rsid w:val="006C187C"/>
    <w:rPr>
      <w:rFonts w:ascii="Calibri" w:hAnsi="Calibri"/>
    </w:rPr>
  </w:style>
  <w:style w:type="paragraph" w:styleId="BalloonText">
    <w:name w:val="Balloon Text"/>
    <w:basedOn w:val="Normal"/>
    <w:link w:val="BalloonTextChar"/>
    <w:uiPriority w:val="99"/>
    <w:semiHidden/>
    <w:unhideWhenUsed/>
    <w:rsid w:val="006C18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7C"/>
    <w:rPr>
      <w:rFonts w:ascii="Tahoma" w:hAnsi="Tahoma" w:cs="Tahoma"/>
      <w:sz w:val="16"/>
      <w:szCs w:val="16"/>
    </w:rPr>
  </w:style>
  <w:style w:type="table" w:styleId="TableGrid">
    <w:name w:val="Table Grid"/>
    <w:basedOn w:val="TableNormal"/>
    <w:uiPriority w:val="59"/>
    <w:rsid w:val="006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C187C"/>
    <w:pPr>
      <w:spacing w:after="0" w:line="240" w:lineRule="auto"/>
    </w:pPr>
    <w:rPr>
      <w:rFonts w:ascii="Calibri" w:eastAsia="Arial" w:hAnsi="Calibri" w:cs="Times New Roman"/>
    </w:rPr>
  </w:style>
  <w:style w:type="character" w:styleId="Hyperlink">
    <w:name w:val="Hyperlink"/>
    <w:basedOn w:val="DefaultParagraphFont"/>
    <w:uiPriority w:val="99"/>
    <w:rsid w:val="006C187C"/>
    <w:rPr>
      <w:color w:val="0000FF"/>
      <w:u w:val="single"/>
    </w:rPr>
  </w:style>
  <w:style w:type="character" w:customStyle="1" w:styleId="Heading3Char">
    <w:name w:val="Heading 3 Char"/>
    <w:basedOn w:val="DefaultParagraphFont"/>
    <w:link w:val="Heading3"/>
    <w:uiPriority w:val="9"/>
    <w:rsid w:val="00647F64"/>
    <w:rPr>
      <w:rFonts w:ascii="Calibri" w:hAnsi="Calibri"/>
      <w:b/>
      <w:sz w:val="24"/>
      <w:szCs w:val="24"/>
      <w:lang w:val="en-US"/>
    </w:rPr>
  </w:style>
  <w:style w:type="paragraph" w:styleId="BodyText">
    <w:name w:val="Body Text"/>
    <w:basedOn w:val="Normal"/>
    <w:link w:val="BodyTextChar"/>
    <w:uiPriority w:val="1"/>
    <w:qFormat/>
    <w:rsid w:val="00587277"/>
    <w:pPr>
      <w:widowControl w:val="0"/>
      <w:spacing w:after="0" w:line="240" w:lineRule="auto"/>
      <w:ind w:left="100"/>
    </w:pPr>
    <w:rPr>
      <w:rFonts w:ascii="Arial" w:eastAsia="Arial" w:hAnsi="Arial" w:cs="Times New Roman"/>
      <w:sz w:val="21"/>
      <w:szCs w:val="21"/>
      <w:lang w:val="en-US"/>
    </w:rPr>
  </w:style>
  <w:style w:type="character" w:customStyle="1" w:styleId="BodyTextChar">
    <w:name w:val="Body Text Char"/>
    <w:basedOn w:val="DefaultParagraphFont"/>
    <w:link w:val="BodyText"/>
    <w:uiPriority w:val="1"/>
    <w:rsid w:val="00587277"/>
    <w:rPr>
      <w:rFonts w:ascii="Arial" w:eastAsia="Arial" w:hAnsi="Arial" w:cs="Times New Roman"/>
      <w:sz w:val="21"/>
      <w:szCs w:val="21"/>
      <w:lang w:val="en-US"/>
    </w:rPr>
  </w:style>
  <w:style w:type="paragraph" w:styleId="ListParagraph">
    <w:name w:val="List Paragraph"/>
    <w:basedOn w:val="Normal"/>
    <w:link w:val="ListParagraphChar"/>
    <w:uiPriority w:val="34"/>
    <w:qFormat/>
    <w:rsid w:val="00647F64"/>
    <w:pPr>
      <w:numPr>
        <w:numId w:val="3"/>
      </w:numPr>
      <w:contextualSpacing/>
    </w:pPr>
    <w:rPr>
      <w:lang w:val="en-US"/>
    </w:rPr>
  </w:style>
  <w:style w:type="character" w:customStyle="1" w:styleId="ListParagraphChar">
    <w:name w:val="List Paragraph Char"/>
    <w:basedOn w:val="DefaultParagraphFont"/>
    <w:link w:val="ListParagraph"/>
    <w:uiPriority w:val="34"/>
    <w:rsid w:val="008F3E28"/>
    <w:rPr>
      <w:rFonts w:ascii="Calibri" w:hAnsi="Calibri"/>
      <w:lang w:val="en-US"/>
    </w:rPr>
  </w:style>
  <w:style w:type="paragraph" w:customStyle="1" w:styleId="Body">
    <w:name w:val="Body"/>
    <w:basedOn w:val="Normal"/>
    <w:qFormat/>
    <w:rsid w:val="00A27465"/>
    <w:pPr>
      <w:widowControl w:val="0"/>
      <w:autoSpaceDE w:val="0"/>
      <w:autoSpaceDN w:val="0"/>
      <w:adjustRightInd w:val="0"/>
      <w:spacing w:after="240" w:line="288" w:lineRule="auto"/>
      <w:jc w:val="left"/>
      <w:textAlignment w:val="center"/>
    </w:pPr>
    <w:rPr>
      <w:rFonts w:ascii="Arial" w:eastAsia="MS Mincho" w:hAnsi="Arial" w:cs="Arial"/>
      <w:color w:val="000000"/>
      <w:sz w:val="24"/>
      <w:szCs w:val="24"/>
      <w:lang w:eastAsia="ja-JP"/>
    </w:rPr>
  </w:style>
  <w:style w:type="paragraph" w:styleId="List">
    <w:name w:val="List"/>
    <w:basedOn w:val="Normal"/>
    <w:uiPriority w:val="99"/>
    <w:unhideWhenUsed/>
    <w:rsid w:val="00471842"/>
    <w:pPr>
      <w:spacing w:line="276" w:lineRule="auto"/>
      <w:ind w:left="283" w:hanging="283"/>
      <w:contextualSpacing/>
      <w:jc w:val="left"/>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1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xperthr.co.uk/policies-and-documents/transgender-equality-action-plan/1623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gender-recognition-how-pensions-and-benefits-may-be-affecte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uidance/transgender-app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3" ma:contentTypeDescription="Create a new document." ma:contentTypeScope="" ma:versionID="c395c5c02ed6446805c34888ec58df3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2777593e62d6ac5350666b17b4149982"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A2E7C-9EEA-4E62-8F5A-6D96D9B63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a9c4-c152-4d9e-bfd5-b587942e2674"/>
    <ds:schemaRef ds:uri="ee77fa31-422f-40f2-8aa3-a2b434f1c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66FDA-3113-4939-AA24-32BE510C5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CD2059-EBAF-4853-8329-2D2603E930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McLaren</dc:creator>
  <cp:lastModifiedBy>headteacher</cp:lastModifiedBy>
  <cp:revision>2</cp:revision>
  <dcterms:created xsi:type="dcterms:W3CDTF">2022-06-27T10:08:00Z</dcterms:created>
  <dcterms:modified xsi:type="dcterms:W3CDTF">2022-06-27T10:08:00Z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